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19A2C" w14:textId="77777777" w:rsidR="00D57B96" w:rsidRPr="009C5C53" w:rsidRDefault="00D57B96" w:rsidP="00D73BF6">
      <w:pPr>
        <w:pStyle w:val="ListParagraph"/>
        <w:numPr>
          <w:ilvl w:val="0"/>
          <w:numId w:val="41"/>
        </w:numPr>
        <w:spacing w:before="0" w:after="0"/>
        <w:jc w:val="left"/>
        <w:rPr>
          <w:rFonts w:cs="Arial"/>
          <w:b/>
          <w:sz w:val="24"/>
          <w:szCs w:val="24"/>
          <w:u w:val="single"/>
        </w:rPr>
      </w:pPr>
      <w:r w:rsidRPr="00D73BF6">
        <w:rPr>
          <w:rFonts w:cs="Arial"/>
          <w:b/>
          <w:sz w:val="24"/>
          <w:szCs w:val="24"/>
          <w:u w:val="single"/>
        </w:rPr>
        <w:t>PURPOSE</w:t>
      </w:r>
    </w:p>
    <w:p w14:paraId="28519A2D" w14:textId="77777777" w:rsidR="00D57B96" w:rsidRPr="009C5C53" w:rsidRDefault="00D57B96" w:rsidP="00D73BF6">
      <w:pPr>
        <w:pStyle w:val="ListParagraph"/>
        <w:numPr>
          <w:ilvl w:val="1"/>
          <w:numId w:val="41"/>
        </w:numPr>
        <w:spacing w:before="0" w:after="0"/>
        <w:jc w:val="left"/>
      </w:pPr>
      <w:r w:rsidRPr="009C5C53">
        <w:t>This document is intended to be used in conjunction with the General Motors Supplier Quality Statement of Requirements (SOR).</w:t>
      </w:r>
    </w:p>
    <w:p w14:paraId="28519A2E" w14:textId="77777777" w:rsidR="00D57B96" w:rsidRPr="009C5C53" w:rsidRDefault="00D57B96" w:rsidP="00D73BF6">
      <w:pPr>
        <w:pStyle w:val="ListParagraph"/>
        <w:numPr>
          <w:ilvl w:val="1"/>
          <w:numId w:val="41"/>
        </w:numPr>
        <w:spacing w:before="0" w:after="0"/>
        <w:jc w:val="left"/>
      </w:pPr>
      <w:r w:rsidRPr="009C5C53">
        <w:t>Supplier requirements for management of sub-tier suppliers is defined by this SOR supplement.  These are a minimum expectation irrespective of implementation of other sub-tier supplier management systems such as AIAG CQI-19.  “Shall” in this document means mandatory; “should” means highly recommended.</w:t>
      </w:r>
    </w:p>
    <w:p w14:paraId="28519A2F" w14:textId="77777777" w:rsidR="00D57B96" w:rsidRPr="009C5C53" w:rsidRDefault="00D57B96" w:rsidP="00D73BF6">
      <w:pPr>
        <w:pStyle w:val="ListParagraph"/>
        <w:numPr>
          <w:ilvl w:val="1"/>
          <w:numId w:val="41"/>
        </w:numPr>
        <w:spacing w:before="0" w:after="0"/>
        <w:jc w:val="left"/>
      </w:pPr>
      <w:r w:rsidRPr="009C5C53">
        <w:t>All suppliers are expected to provide product that meets General Motors requirements, including fit, form and function associated with sub-tier purchased material.</w:t>
      </w:r>
    </w:p>
    <w:p w14:paraId="28519A30" w14:textId="77777777" w:rsidR="00D57B96" w:rsidRPr="009C5C53" w:rsidRDefault="00D57B96" w:rsidP="00D73BF6">
      <w:pPr>
        <w:spacing w:before="0" w:after="0"/>
        <w:jc w:val="left"/>
        <w:rPr>
          <w:rFonts w:cs="Arial"/>
          <w:b/>
        </w:rPr>
      </w:pPr>
    </w:p>
    <w:p w14:paraId="28519A31" w14:textId="77777777" w:rsidR="00D57B96" w:rsidRPr="009C5C53" w:rsidRDefault="00D57B96" w:rsidP="00D73BF6">
      <w:pPr>
        <w:pStyle w:val="ListParagraph"/>
        <w:numPr>
          <w:ilvl w:val="0"/>
          <w:numId w:val="41"/>
        </w:numPr>
        <w:spacing w:before="0" w:after="0"/>
        <w:jc w:val="left"/>
        <w:rPr>
          <w:rFonts w:cs="Arial"/>
          <w:b/>
          <w:sz w:val="24"/>
          <w:szCs w:val="24"/>
          <w:u w:val="single"/>
        </w:rPr>
      </w:pPr>
      <w:r w:rsidRPr="009C5C53">
        <w:rPr>
          <w:rFonts w:cs="Arial"/>
          <w:b/>
          <w:sz w:val="24"/>
          <w:szCs w:val="24"/>
          <w:u w:val="single"/>
        </w:rPr>
        <w:t>REQUIREMENTS</w:t>
      </w:r>
    </w:p>
    <w:p w14:paraId="28519A32" w14:textId="77777777" w:rsidR="00D57B96" w:rsidRPr="009C5C53" w:rsidRDefault="00D57B96" w:rsidP="00D73BF6">
      <w:pPr>
        <w:pStyle w:val="ListParagraph"/>
        <w:numPr>
          <w:ilvl w:val="1"/>
          <w:numId w:val="41"/>
        </w:numPr>
        <w:spacing w:before="0" w:after="0"/>
        <w:jc w:val="left"/>
      </w:pPr>
      <w:r w:rsidRPr="009C5C53">
        <w:t xml:space="preserve">All areas defined in this document apply to General Motors direct Tier 1 suppliers for the management of sub-tier suppliers, including directed </w:t>
      </w:r>
      <w:proofErr w:type="spellStart"/>
      <w:r w:rsidRPr="009C5C53">
        <w:t>buy</w:t>
      </w:r>
      <w:proofErr w:type="spellEnd"/>
      <w:r w:rsidRPr="009C5C53">
        <w:t xml:space="preserve"> sub-tier suppliers.</w:t>
      </w:r>
    </w:p>
    <w:p w14:paraId="28519A33" w14:textId="77777777" w:rsidR="00D57B96" w:rsidRPr="009C5C53" w:rsidRDefault="00D57B96" w:rsidP="00D73BF6">
      <w:pPr>
        <w:spacing w:before="0" w:after="0"/>
        <w:jc w:val="left"/>
        <w:rPr>
          <w:rFonts w:cs="Arial"/>
          <w:b/>
        </w:rPr>
      </w:pPr>
    </w:p>
    <w:p w14:paraId="28519A34" w14:textId="77777777" w:rsidR="00D57B96" w:rsidRPr="009C5C53" w:rsidRDefault="00D57B96" w:rsidP="00D73BF6">
      <w:pPr>
        <w:pStyle w:val="ListParagraph"/>
        <w:numPr>
          <w:ilvl w:val="0"/>
          <w:numId w:val="41"/>
        </w:numPr>
        <w:spacing w:before="0" w:after="0"/>
        <w:jc w:val="left"/>
        <w:rPr>
          <w:rFonts w:cs="Arial"/>
          <w:b/>
          <w:sz w:val="24"/>
          <w:szCs w:val="24"/>
          <w:u w:val="single"/>
        </w:rPr>
      </w:pPr>
      <w:r w:rsidRPr="009C5C53">
        <w:rPr>
          <w:rFonts w:cs="Arial"/>
          <w:b/>
          <w:sz w:val="24"/>
          <w:szCs w:val="24"/>
          <w:u w:val="single"/>
        </w:rPr>
        <w:t>REFERENCE DOCUMENTS</w:t>
      </w:r>
    </w:p>
    <w:p w14:paraId="28519A35" w14:textId="770C0CE7" w:rsidR="00D57B96" w:rsidRPr="009C5C53" w:rsidRDefault="00571281" w:rsidP="00D73BF6">
      <w:pPr>
        <w:pStyle w:val="ListParagraph"/>
        <w:numPr>
          <w:ilvl w:val="1"/>
          <w:numId w:val="41"/>
        </w:numPr>
        <w:spacing w:before="0" w:after="0"/>
        <w:jc w:val="left"/>
      </w:pPr>
      <w:r w:rsidRPr="009C5C53">
        <w:t xml:space="preserve">CG4338 </w:t>
      </w:r>
      <w:r w:rsidR="00D57B96" w:rsidRPr="009C5C53">
        <w:t>GM 1927</w:t>
      </w:r>
      <w:r w:rsidR="00013787" w:rsidRPr="009C5C53">
        <w:t xml:space="preserve"> </w:t>
      </w:r>
      <w:r w:rsidR="00D57B96" w:rsidRPr="009C5C53">
        <w:t xml:space="preserve">03 Supplier Quality Statement of Requirements </w:t>
      </w:r>
    </w:p>
    <w:p w14:paraId="28519A36" w14:textId="166660D2" w:rsidR="00D57B96" w:rsidRPr="009C5C53" w:rsidRDefault="00D57B96" w:rsidP="00D73BF6">
      <w:pPr>
        <w:pStyle w:val="ListParagraph"/>
        <w:numPr>
          <w:ilvl w:val="1"/>
          <w:numId w:val="41"/>
        </w:numPr>
        <w:spacing w:before="0" w:after="0"/>
        <w:jc w:val="left"/>
      </w:pPr>
      <w:r w:rsidRPr="009C5C53">
        <w:t>GM 1927</w:t>
      </w:r>
      <w:r w:rsidR="00013787" w:rsidRPr="009C5C53">
        <w:t xml:space="preserve"> </w:t>
      </w:r>
      <w:r w:rsidRPr="009C5C53">
        <w:t>07</w:t>
      </w:r>
      <w:r w:rsidR="000151DB" w:rsidRPr="009C5C53">
        <w:t>a</w:t>
      </w:r>
      <w:r w:rsidRPr="009C5C53">
        <w:t xml:space="preserve"> APQP Assessment </w:t>
      </w:r>
      <w:r w:rsidR="00853E2C" w:rsidRPr="009C5C53">
        <w:t>Sub tier</w:t>
      </w:r>
    </w:p>
    <w:p w14:paraId="28519A37" w14:textId="02F8CA62" w:rsidR="00D57B96" w:rsidRPr="009C5C53" w:rsidRDefault="00D57B96" w:rsidP="00D73BF6">
      <w:pPr>
        <w:pStyle w:val="ListParagraph"/>
        <w:numPr>
          <w:ilvl w:val="1"/>
          <w:numId w:val="41"/>
        </w:numPr>
        <w:spacing w:before="0" w:after="0"/>
        <w:jc w:val="left"/>
      </w:pPr>
      <w:r w:rsidRPr="009C5C53">
        <w:t>GM 1927</w:t>
      </w:r>
      <w:r w:rsidR="00013787" w:rsidRPr="009C5C53">
        <w:t xml:space="preserve"> </w:t>
      </w:r>
      <w:r w:rsidRPr="009C5C53">
        <w:t>16 Process Control Plan Audit Form</w:t>
      </w:r>
    </w:p>
    <w:p w14:paraId="28519A38" w14:textId="3D4FE063" w:rsidR="00D57B96" w:rsidRPr="009C5C53" w:rsidRDefault="00D57B96" w:rsidP="00D73BF6">
      <w:pPr>
        <w:pStyle w:val="ListParagraph"/>
        <w:numPr>
          <w:ilvl w:val="1"/>
          <w:numId w:val="41"/>
        </w:numPr>
        <w:spacing w:before="0" w:after="0"/>
        <w:jc w:val="left"/>
      </w:pPr>
      <w:r w:rsidRPr="009C5C53">
        <w:t>GM 1927</w:t>
      </w:r>
      <w:r w:rsidR="00013787" w:rsidRPr="009C5C53">
        <w:t xml:space="preserve"> </w:t>
      </w:r>
      <w:r w:rsidRPr="009C5C53">
        <w:t xml:space="preserve">16b </w:t>
      </w:r>
      <w:r w:rsidR="00853E2C" w:rsidRPr="009C5C53">
        <w:t>Sub tier</w:t>
      </w:r>
      <w:r w:rsidRPr="009C5C53">
        <w:t xml:space="preserve"> Supplier Process Audit</w:t>
      </w:r>
    </w:p>
    <w:p w14:paraId="28519A39" w14:textId="4E02EFB8" w:rsidR="00D57B96" w:rsidRPr="009C5C53" w:rsidRDefault="00D57B96" w:rsidP="00D73BF6">
      <w:pPr>
        <w:pStyle w:val="ListParagraph"/>
        <w:numPr>
          <w:ilvl w:val="1"/>
          <w:numId w:val="41"/>
        </w:numPr>
        <w:spacing w:before="0" w:after="0"/>
        <w:jc w:val="left"/>
      </w:pPr>
      <w:r w:rsidRPr="009C5C53">
        <w:t>GM 1927</w:t>
      </w:r>
      <w:r w:rsidR="00013787" w:rsidRPr="009C5C53">
        <w:t xml:space="preserve"> </w:t>
      </w:r>
      <w:r w:rsidRPr="009C5C53">
        <w:t>21 RISK ANALYSIS Summary</w:t>
      </w:r>
    </w:p>
    <w:p w14:paraId="28519A3A" w14:textId="37CC69A6" w:rsidR="00D57B96" w:rsidRPr="009C5C53" w:rsidRDefault="00D57B96" w:rsidP="00D73BF6">
      <w:pPr>
        <w:pStyle w:val="ListParagraph"/>
        <w:numPr>
          <w:ilvl w:val="1"/>
          <w:numId w:val="41"/>
        </w:numPr>
        <w:spacing w:before="0" w:after="0"/>
        <w:jc w:val="left"/>
      </w:pPr>
      <w:r w:rsidRPr="009C5C53">
        <w:t>GM 1927</w:t>
      </w:r>
      <w:r w:rsidR="00013787" w:rsidRPr="009C5C53">
        <w:t xml:space="preserve"> </w:t>
      </w:r>
      <w:r w:rsidRPr="009C5C53">
        <w:t>25 Subcontractor Status Summary</w:t>
      </w:r>
    </w:p>
    <w:p w14:paraId="28519A3B" w14:textId="1F07DB67" w:rsidR="00D57B96" w:rsidRPr="009C5C53" w:rsidRDefault="00D57B96" w:rsidP="00D73BF6">
      <w:pPr>
        <w:pStyle w:val="ListParagraph"/>
        <w:numPr>
          <w:ilvl w:val="1"/>
          <w:numId w:val="41"/>
        </w:numPr>
        <w:spacing w:before="0" w:after="0"/>
        <w:jc w:val="left"/>
      </w:pPr>
      <w:r w:rsidRPr="009C5C53">
        <w:t>GM 1927</w:t>
      </w:r>
      <w:r w:rsidR="00013787" w:rsidRPr="009C5C53">
        <w:t xml:space="preserve"> </w:t>
      </w:r>
      <w:r w:rsidRPr="009C5C53">
        <w:t>26 Subcontractor Status Summary Matrix</w:t>
      </w:r>
    </w:p>
    <w:p w14:paraId="28519A3C" w14:textId="3D7A30E6" w:rsidR="00D57B96" w:rsidRPr="009C5C53" w:rsidRDefault="00D57B96" w:rsidP="00D73BF6">
      <w:pPr>
        <w:pStyle w:val="ListParagraph"/>
        <w:numPr>
          <w:ilvl w:val="1"/>
          <w:numId w:val="41"/>
        </w:numPr>
        <w:spacing w:before="0" w:after="0"/>
        <w:jc w:val="left"/>
      </w:pPr>
      <w:r w:rsidRPr="009C5C53">
        <w:t>GM 1927</w:t>
      </w:r>
      <w:r w:rsidR="00013787" w:rsidRPr="009C5C53">
        <w:t xml:space="preserve"> </w:t>
      </w:r>
      <w:r w:rsidRPr="009C5C53">
        <w:t xml:space="preserve">33 </w:t>
      </w:r>
      <w:r w:rsidR="001175D2" w:rsidRPr="009C5C53">
        <w:t>Early Production Containment</w:t>
      </w:r>
      <w:r w:rsidRPr="009C5C53">
        <w:t xml:space="preserve"> Audit Form</w:t>
      </w:r>
    </w:p>
    <w:p w14:paraId="28519A3D" w14:textId="071F9101" w:rsidR="00D57B96" w:rsidRPr="009C5C53" w:rsidRDefault="00D57B96" w:rsidP="00D73BF6">
      <w:pPr>
        <w:pStyle w:val="ListParagraph"/>
        <w:numPr>
          <w:ilvl w:val="1"/>
          <w:numId w:val="41"/>
        </w:numPr>
        <w:spacing w:before="0" w:after="0"/>
        <w:jc w:val="left"/>
      </w:pPr>
      <w:r w:rsidRPr="009C5C53">
        <w:t>GM 1927</w:t>
      </w:r>
      <w:r w:rsidR="00013787" w:rsidRPr="009C5C53">
        <w:t xml:space="preserve"> </w:t>
      </w:r>
      <w:r w:rsidRPr="009C5C53">
        <w:t>43 Launch Audit</w:t>
      </w:r>
    </w:p>
    <w:p w14:paraId="28519A3E" w14:textId="77EB8349" w:rsidR="00D57B96" w:rsidRPr="009C5C53" w:rsidRDefault="00D57B96" w:rsidP="00FE6624">
      <w:pPr>
        <w:pStyle w:val="ListParagraph"/>
        <w:numPr>
          <w:ilvl w:val="1"/>
          <w:numId w:val="41"/>
        </w:numPr>
        <w:spacing w:before="0" w:after="0"/>
        <w:ind w:left="810" w:hanging="450"/>
        <w:jc w:val="left"/>
      </w:pPr>
      <w:r w:rsidRPr="009C5C53">
        <w:t>GM</w:t>
      </w:r>
      <w:r w:rsidR="00E9070D">
        <w:t xml:space="preserve"> </w:t>
      </w:r>
      <w:r w:rsidRPr="009C5C53">
        <w:t>1927</w:t>
      </w:r>
      <w:r w:rsidR="00013787" w:rsidRPr="009C5C53">
        <w:t xml:space="preserve"> </w:t>
      </w:r>
      <w:r w:rsidRPr="009C5C53">
        <w:t>35 Run at Rate Procedure</w:t>
      </w:r>
    </w:p>
    <w:p w14:paraId="28519A3F" w14:textId="2118796A" w:rsidR="00D57B96" w:rsidRPr="009C5C53" w:rsidRDefault="00D57B96" w:rsidP="00FE6624">
      <w:pPr>
        <w:pStyle w:val="ListParagraph"/>
        <w:numPr>
          <w:ilvl w:val="1"/>
          <w:numId w:val="41"/>
        </w:numPr>
        <w:spacing w:before="0" w:after="0"/>
        <w:ind w:left="810" w:hanging="450"/>
        <w:jc w:val="left"/>
      </w:pPr>
      <w:r w:rsidRPr="009C5C53">
        <w:t>GM</w:t>
      </w:r>
      <w:r w:rsidR="00E9070D">
        <w:t xml:space="preserve"> </w:t>
      </w:r>
      <w:r w:rsidRPr="009C5C53">
        <w:t>1927</w:t>
      </w:r>
      <w:r w:rsidR="00013787" w:rsidRPr="009C5C53">
        <w:t xml:space="preserve"> </w:t>
      </w:r>
      <w:r w:rsidRPr="009C5C53">
        <w:t>28 Early Production Containment</w:t>
      </w:r>
    </w:p>
    <w:p w14:paraId="28519A40" w14:textId="0537A19B" w:rsidR="00D57B96" w:rsidRPr="009C5C53" w:rsidRDefault="00D57B96" w:rsidP="00FE6624">
      <w:pPr>
        <w:pStyle w:val="ListParagraph"/>
        <w:numPr>
          <w:ilvl w:val="1"/>
          <w:numId w:val="41"/>
        </w:numPr>
        <w:spacing w:before="0" w:after="0"/>
        <w:ind w:left="810" w:hanging="450"/>
        <w:jc w:val="left"/>
      </w:pPr>
      <w:r w:rsidRPr="009C5C53">
        <w:t>GM 1927</w:t>
      </w:r>
      <w:r w:rsidR="00013787" w:rsidRPr="009C5C53">
        <w:t xml:space="preserve"> </w:t>
      </w:r>
      <w:r w:rsidRPr="009C5C53">
        <w:t xml:space="preserve">30 BIQS </w:t>
      </w:r>
      <w:r w:rsidR="007E7AE0" w:rsidRPr="009C5C53">
        <w:t>Assessment / Self-assessment</w:t>
      </w:r>
    </w:p>
    <w:p w14:paraId="28519A41" w14:textId="389551AF" w:rsidR="00D57B96" w:rsidRPr="009C5C53" w:rsidRDefault="00D57B96" w:rsidP="00FE6624">
      <w:pPr>
        <w:pStyle w:val="ListParagraph"/>
        <w:numPr>
          <w:ilvl w:val="1"/>
          <w:numId w:val="41"/>
        </w:numPr>
        <w:spacing w:before="0" w:after="0"/>
        <w:ind w:left="810" w:hanging="450"/>
        <w:jc w:val="left"/>
      </w:pPr>
      <w:r w:rsidRPr="009C5C53">
        <w:t>DFMEA/PFMEA</w:t>
      </w:r>
      <w:r w:rsidR="00E9070D">
        <w:t xml:space="preserve"> </w:t>
      </w:r>
    </w:p>
    <w:p w14:paraId="28519A42" w14:textId="77777777" w:rsidR="00D57B96" w:rsidRPr="009C5C53" w:rsidRDefault="00D57B96" w:rsidP="00FE6624">
      <w:pPr>
        <w:pStyle w:val="ListParagraph"/>
        <w:numPr>
          <w:ilvl w:val="1"/>
          <w:numId w:val="41"/>
        </w:numPr>
        <w:spacing w:before="0" w:after="0"/>
        <w:ind w:left="810" w:hanging="450"/>
        <w:jc w:val="left"/>
      </w:pPr>
      <w:r w:rsidRPr="009C5C53">
        <w:t>CQI-9, CQI-10, CQI-11, CQI-12, CQI-15, CQI-17, CQI-27 and any pertinent AIAG standards</w:t>
      </w:r>
    </w:p>
    <w:p w14:paraId="28519A43" w14:textId="77777777" w:rsidR="00D57B96" w:rsidRPr="009C5C53" w:rsidRDefault="00D57B96" w:rsidP="00D73BF6">
      <w:pPr>
        <w:spacing w:before="0" w:after="0"/>
        <w:jc w:val="left"/>
      </w:pPr>
    </w:p>
    <w:p w14:paraId="28519A44" w14:textId="77777777" w:rsidR="00D57B96" w:rsidRPr="009C5C53" w:rsidRDefault="00D57B96" w:rsidP="00D73BF6">
      <w:pPr>
        <w:pStyle w:val="ListParagraph"/>
        <w:numPr>
          <w:ilvl w:val="0"/>
          <w:numId w:val="41"/>
        </w:numPr>
        <w:spacing w:before="0" w:after="0"/>
        <w:jc w:val="left"/>
        <w:rPr>
          <w:rFonts w:cs="Arial"/>
          <w:b/>
          <w:sz w:val="24"/>
          <w:szCs w:val="24"/>
          <w:u w:val="single"/>
        </w:rPr>
      </w:pPr>
      <w:r w:rsidRPr="009C5C53">
        <w:rPr>
          <w:rFonts w:cs="Arial"/>
          <w:b/>
          <w:sz w:val="24"/>
          <w:szCs w:val="24"/>
          <w:u w:val="single"/>
        </w:rPr>
        <w:t>Supplier Management Organizational Structure</w:t>
      </w:r>
    </w:p>
    <w:p w14:paraId="28519A45" w14:textId="77777777" w:rsidR="00D57B96" w:rsidRPr="009C5C53" w:rsidRDefault="00D57B96" w:rsidP="00D73BF6">
      <w:pPr>
        <w:pStyle w:val="ListParagraph"/>
        <w:numPr>
          <w:ilvl w:val="1"/>
          <w:numId w:val="41"/>
        </w:numPr>
        <w:spacing w:before="0" w:after="0"/>
        <w:jc w:val="left"/>
      </w:pPr>
      <w:r w:rsidRPr="009C5C53">
        <w:t xml:space="preserve">Suppliers with purchased content in their products produced for General Motors shall have a structure in place to manage purchased part suppliers.  This structure shall perform </w:t>
      </w:r>
      <w:proofErr w:type="gramStart"/>
      <w:r w:rsidRPr="009C5C53">
        <w:t>all of</w:t>
      </w:r>
      <w:proofErr w:type="gramEnd"/>
      <w:r w:rsidRPr="009C5C53">
        <w:t xml:space="preserve"> the functions detailed in this SOR to assure purchased parts meet General Motors requirements.  </w:t>
      </w:r>
    </w:p>
    <w:p w14:paraId="28519A46" w14:textId="77777777" w:rsidR="00D57B96" w:rsidRPr="009C5C53" w:rsidRDefault="00D57B96" w:rsidP="00D73BF6">
      <w:pPr>
        <w:pStyle w:val="ListParagraph"/>
        <w:numPr>
          <w:ilvl w:val="1"/>
          <w:numId w:val="41"/>
        </w:numPr>
        <w:spacing w:before="0" w:after="0"/>
        <w:jc w:val="left"/>
      </w:pPr>
      <w:r w:rsidRPr="009C5C53">
        <w:t>The organization structure should include supplier quality/development engineers that are properly trained in the various process and systems used for supplier quality management.  This includes APQP work, auditing, quality systems expertise and functional expertise for problem resolution.  These individuals should also be capable to perform assessments for sourcing of suppliers to assure quality and production requirements can be met.</w:t>
      </w:r>
    </w:p>
    <w:p w14:paraId="28519A47" w14:textId="77777777" w:rsidR="00D57B96" w:rsidRPr="009C5C53" w:rsidRDefault="00D57B96" w:rsidP="00D73BF6">
      <w:pPr>
        <w:pStyle w:val="ListParagraph"/>
        <w:numPr>
          <w:ilvl w:val="1"/>
          <w:numId w:val="41"/>
        </w:numPr>
        <w:spacing w:before="0" w:after="0"/>
        <w:jc w:val="left"/>
      </w:pPr>
      <w:r w:rsidRPr="009C5C53">
        <w:t>The supplier shall have a program management structure that acts as a single point for coordination of new product launches with a high level of purchased sub-tier components.  Program management resources shall assist in tracking of sub-tier APQP compliance as well as supporting problem resolution.</w:t>
      </w:r>
    </w:p>
    <w:p w14:paraId="28519A48" w14:textId="77777777" w:rsidR="00D73BF6" w:rsidRPr="009C5C53" w:rsidRDefault="00D73BF6" w:rsidP="00D73BF6">
      <w:pPr>
        <w:spacing w:before="0" w:after="0"/>
        <w:ind w:left="360"/>
        <w:jc w:val="left"/>
      </w:pPr>
    </w:p>
    <w:p w14:paraId="28519A49" w14:textId="77777777" w:rsidR="00D57B96" w:rsidRPr="009C5C53" w:rsidRDefault="00D57B96" w:rsidP="00D73BF6">
      <w:pPr>
        <w:pStyle w:val="ListParagraph"/>
        <w:numPr>
          <w:ilvl w:val="0"/>
          <w:numId w:val="41"/>
        </w:numPr>
        <w:spacing w:before="0" w:after="0"/>
        <w:jc w:val="left"/>
        <w:rPr>
          <w:rFonts w:cs="Arial"/>
          <w:b/>
          <w:sz w:val="24"/>
          <w:szCs w:val="24"/>
          <w:u w:val="single"/>
        </w:rPr>
      </w:pPr>
      <w:r w:rsidRPr="009C5C53">
        <w:rPr>
          <w:rFonts w:cs="Arial"/>
          <w:b/>
          <w:sz w:val="24"/>
          <w:szCs w:val="24"/>
          <w:u w:val="single"/>
        </w:rPr>
        <w:t xml:space="preserve">Supplier Selection and Development </w:t>
      </w:r>
    </w:p>
    <w:p w14:paraId="28519A4B" w14:textId="275FF09A" w:rsidR="00D57B96" w:rsidRPr="009C5C53" w:rsidRDefault="00D57B96" w:rsidP="00D73BF6">
      <w:pPr>
        <w:pStyle w:val="ListParagraph"/>
        <w:numPr>
          <w:ilvl w:val="1"/>
          <w:numId w:val="41"/>
        </w:numPr>
        <w:spacing w:before="0" w:after="0"/>
        <w:jc w:val="left"/>
      </w:pPr>
      <w:r w:rsidRPr="009C5C53">
        <w:t xml:space="preserve">Suppliers shall have a source selection process that comprehends sub-tier capability to meet requirements for purchased parts.  This is including, but not limited to technological capability, manufacturing expertise, financial stability, available capacity, resource availability, etc.  This process should include an assessment of their quality system capability, preferably performed by a qualified individual in the supplier management organization.  Audits conducted for this purpose should be part of the standardized work and the content should be consistent with automotive industry standards.  </w:t>
      </w:r>
    </w:p>
    <w:p w14:paraId="28519A4C" w14:textId="7C08E530" w:rsidR="00D57B96" w:rsidRPr="009C5C53" w:rsidRDefault="00D57B96" w:rsidP="00D73BF6">
      <w:pPr>
        <w:pStyle w:val="ListParagraph"/>
        <w:numPr>
          <w:ilvl w:val="1"/>
          <w:numId w:val="41"/>
        </w:numPr>
        <w:spacing w:before="0" w:after="0"/>
        <w:jc w:val="left"/>
      </w:pPr>
      <w:r w:rsidRPr="009C5C53">
        <w:t xml:space="preserve">Sub-tier Suppliers shall be verified to a </w:t>
      </w:r>
      <w:r w:rsidR="000556F1" w:rsidRPr="009C5C53">
        <w:t>quality system</w:t>
      </w:r>
      <w:r w:rsidRPr="009C5C53">
        <w:t xml:space="preserve"> standard </w:t>
      </w:r>
      <w:r w:rsidR="00D47195" w:rsidRPr="009C5C53">
        <w:t xml:space="preserve">like IATF 16949 or </w:t>
      </w:r>
      <w:r w:rsidR="001C7E26" w:rsidRPr="009C5C53">
        <w:t>the Tier 1 supplier defined</w:t>
      </w:r>
      <w:r w:rsidR="00B117D1" w:rsidRPr="009C5C53">
        <w:t xml:space="preserve"> </w:t>
      </w:r>
      <w:r w:rsidR="001C7E26" w:rsidRPr="009C5C53">
        <w:t>quality system standards.</w:t>
      </w:r>
      <w:r w:rsidRPr="009C5C53">
        <w:t xml:space="preserve">  All sub-tiers sh</w:t>
      </w:r>
      <w:r w:rsidR="00DA7D18" w:rsidRPr="009C5C53">
        <w:t>all</w:t>
      </w:r>
      <w:r w:rsidRPr="009C5C53">
        <w:t xml:space="preserve"> comply with a </w:t>
      </w:r>
      <w:r w:rsidR="00CA197F" w:rsidRPr="009C5C53">
        <w:t>quality system</w:t>
      </w:r>
      <w:r w:rsidRPr="009C5C53">
        <w:t xml:space="preserve"> standard.  The supplier management organization sh</w:t>
      </w:r>
      <w:r w:rsidR="00DA7D18" w:rsidRPr="009C5C53">
        <w:t>all</w:t>
      </w:r>
      <w:r w:rsidRPr="009C5C53">
        <w:t xml:space="preserve"> have an individual fluent in these standards who is able to train and conduct audits at sub-tier suppliers.</w:t>
      </w:r>
    </w:p>
    <w:p w14:paraId="28519A4D" w14:textId="77777777" w:rsidR="00D57B96" w:rsidRPr="009C5C53" w:rsidRDefault="00D57B96" w:rsidP="00D73BF6">
      <w:pPr>
        <w:pStyle w:val="ListParagraph"/>
        <w:numPr>
          <w:ilvl w:val="1"/>
          <w:numId w:val="41"/>
        </w:numPr>
        <w:spacing w:before="0" w:after="0"/>
        <w:jc w:val="left"/>
      </w:pPr>
      <w:r w:rsidRPr="009C5C53">
        <w:lastRenderedPageBreak/>
        <w:t>The supplier management structure resources shall also be skilled in problem resolution and continuous improvement techniques to help drive performance improvement in the sub-tier supply base.</w:t>
      </w:r>
    </w:p>
    <w:p w14:paraId="28519A4E" w14:textId="77777777" w:rsidR="00D57B96" w:rsidRPr="009C5C53" w:rsidRDefault="00D57B96" w:rsidP="00D73BF6">
      <w:pPr>
        <w:spacing w:before="0" w:after="0"/>
        <w:ind w:left="-300"/>
        <w:jc w:val="left"/>
      </w:pPr>
    </w:p>
    <w:p w14:paraId="28519A50" w14:textId="6770F8B4" w:rsidR="00D57B96" w:rsidRPr="00FE6624" w:rsidRDefault="00D57B96" w:rsidP="00D73BF6">
      <w:pPr>
        <w:pStyle w:val="ListParagraph"/>
        <w:numPr>
          <w:ilvl w:val="0"/>
          <w:numId w:val="41"/>
        </w:numPr>
        <w:spacing w:before="0" w:after="0"/>
        <w:jc w:val="left"/>
        <w:rPr>
          <w:rFonts w:cs="Arial"/>
          <w:b/>
          <w:sz w:val="24"/>
          <w:szCs w:val="24"/>
          <w:u w:val="single"/>
        </w:rPr>
      </w:pPr>
      <w:r w:rsidRPr="009C5C53">
        <w:rPr>
          <w:rFonts w:cs="Arial"/>
          <w:b/>
          <w:sz w:val="24"/>
          <w:szCs w:val="24"/>
          <w:u w:val="single"/>
        </w:rPr>
        <w:t>APQP Process Requirements</w:t>
      </w:r>
    </w:p>
    <w:p w14:paraId="28519A51" w14:textId="77777777" w:rsidR="00D57B96" w:rsidRPr="00FE6624" w:rsidRDefault="00D57B96" w:rsidP="00D73BF6">
      <w:pPr>
        <w:pStyle w:val="ListParagraph"/>
        <w:numPr>
          <w:ilvl w:val="1"/>
          <w:numId w:val="41"/>
        </w:numPr>
        <w:spacing w:before="0" w:after="0"/>
        <w:jc w:val="left"/>
        <w:rPr>
          <w:iCs/>
        </w:rPr>
      </w:pPr>
      <w:r w:rsidRPr="00FE6624">
        <w:rPr>
          <w:iCs/>
        </w:rPr>
        <w:t>Risk Assessment:</w:t>
      </w:r>
    </w:p>
    <w:p w14:paraId="28519A53" w14:textId="31E7AE35" w:rsidR="00D57B96" w:rsidRPr="009C5C53" w:rsidRDefault="00D57B96" w:rsidP="00D73BF6">
      <w:pPr>
        <w:pStyle w:val="ListParagraph"/>
        <w:numPr>
          <w:ilvl w:val="2"/>
          <w:numId w:val="41"/>
        </w:numPr>
        <w:spacing w:before="0" w:after="0"/>
        <w:jc w:val="left"/>
      </w:pPr>
      <w:r w:rsidRPr="009C5C53">
        <w:t>Suppliers shall complete the GM 1927</w:t>
      </w:r>
      <w:r w:rsidR="00013787" w:rsidRPr="009C5C53">
        <w:t xml:space="preserve"> </w:t>
      </w:r>
      <w:r w:rsidRPr="009C5C53">
        <w:t>07</w:t>
      </w:r>
      <w:r w:rsidR="000151DB" w:rsidRPr="009C5C53">
        <w:t>a</w:t>
      </w:r>
      <w:r w:rsidRPr="009C5C53">
        <w:t xml:space="preserve"> APQP Assessment </w:t>
      </w:r>
      <w:r w:rsidR="00D73BF6" w:rsidRPr="009C5C53">
        <w:t>Sub tier</w:t>
      </w:r>
      <w:r w:rsidRPr="009C5C53">
        <w:t xml:space="preserve"> worksheet or equivalent document for all sub-tier suppliers and determine the risk classification for each. If a supplier has an equivalent document for assessing risk, it shall be reviewed with the GM SQE to be sure it comprehends similar risk categories as the GM 1927</w:t>
      </w:r>
      <w:r w:rsidR="00013787" w:rsidRPr="009C5C53">
        <w:t xml:space="preserve"> </w:t>
      </w:r>
      <w:r w:rsidRPr="009C5C53">
        <w:t>07</w:t>
      </w:r>
      <w:r w:rsidR="000151DB" w:rsidRPr="009C5C53">
        <w:t>a</w:t>
      </w:r>
      <w:r w:rsidRPr="009C5C53">
        <w:t xml:space="preserve"> APQP Assessment </w:t>
      </w:r>
      <w:r w:rsidR="00D73BF6" w:rsidRPr="009C5C53">
        <w:t>Sub tier</w:t>
      </w:r>
      <w:r w:rsidRPr="009C5C53">
        <w:t>.  Sub-tier suppliers shall be classified as either “Critical” or “Non-Critical” based on the results of the risk assessment.  For the GM form, a risk assessment rating of 34 is the recommended threshold for determining which suppliers are classified as “Critical”.  If the supplier has their own risk assessment process, the criteria for selection for “Critical” suppliers shall be established and reviewed with the GM SQE.  In either case, the identification of “Critical” suppliers shall evaluate all factors in making a final designation.  As the APQP process progresses and new information becomes available, re-assessments should be done as applicable to be sure new risks are comprehended and communicated</w:t>
      </w:r>
      <w:proofErr w:type="gramStart"/>
      <w:r w:rsidRPr="009C5C53">
        <w:t>.</w:t>
      </w:r>
      <w:r w:rsidR="001230DB" w:rsidRPr="009C5C53">
        <w:t xml:space="preserve"> .</w:t>
      </w:r>
      <w:proofErr w:type="gramEnd"/>
      <w:r w:rsidR="001230DB" w:rsidRPr="009C5C53">
        <w:t xml:space="preserve"> Risk assessment shall be communicated to cross functional PDT Prior to Production tooling release (TKO) and following reassessment for any additional design or process changes implemented thru start of production.</w:t>
      </w:r>
    </w:p>
    <w:p w14:paraId="28519A54" w14:textId="77777777" w:rsidR="00D57B96" w:rsidRPr="00FE6624" w:rsidRDefault="00D57B96" w:rsidP="00D73BF6">
      <w:pPr>
        <w:pStyle w:val="ListParagraph"/>
        <w:numPr>
          <w:ilvl w:val="1"/>
          <w:numId w:val="41"/>
        </w:numPr>
        <w:spacing w:before="0" w:after="0"/>
        <w:jc w:val="left"/>
        <w:rPr>
          <w:iCs/>
        </w:rPr>
      </w:pPr>
      <w:r w:rsidRPr="00FE6624">
        <w:rPr>
          <w:iCs/>
        </w:rPr>
        <w:t>APQP Tracking:</w:t>
      </w:r>
    </w:p>
    <w:p w14:paraId="28519A55" w14:textId="536B7EFD" w:rsidR="00D57B96" w:rsidRPr="009C5C53" w:rsidRDefault="00D57B96" w:rsidP="00D73BF6">
      <w:pPr>
        <w:pStyle w:val="ListParagraph"/>
        <w:numPr>
          <w:ilvl w:val="2"/>
          <w:numId w:val="41"/>
        </w:numPr>
        <w:spacing w:before="0" w:after="0"/>
        <w:jc w:val="left"/>
      </w:pPr>
      <w:r w:rsidRPr="009C5C53">
        <w:t>All sub-tier suppliers shall require APQP tracking during their product development cycle.  The GM</w:t>
      </w:r>
      <w:r w:rsidR="00E9070D">
        <w:t xml:space="preserve"> </w:t>
      </w:r>
      <w:r w:rsidRPr="009C5C53">
        <w:t>1927</w:t>
      </w:r>
      <w:r w:rsidR="00013787" w:rsidRPr="009C5C53">
        <w:t xml:space="preserve"> </w:t>
      </w:r>
      <w:r w:rsidRPr="009C5C53">
        <w:t>25/26 Sub Supplier Status Summary forms or equivalent shall be used for this purpose.  Additional or more frequent tracking shall occur for suppliers identified as “Critical”.  On-site audits of APQP activity should be conducted to assure sub-tier suppliers are complying with program timing requirements and milestone events.</w:t>
      </w:r>
    </w:p>
    <w:p w14:paraId="28519A57" w14:textId="693FBAAA" w:rsidR="00D57B96" w:rsidRPr="009C5C53" w:rsidRDefault="00D57B96" w:rsidP="00D73BF6">
      <w:pPr>
        <w:pStyle w:val="ListParagraph"/>
        <w:numPr>
          <w:ilvl w:val="2"/>
          <w:numId w:val="41"/>
        </w:numPr>
        <w:spacing w:before="0" w:after="0"/>
        <w:jc w:val="left"/>
      </w:pPr>
      <w:r w:rsidRPr="009C5C53">
        <w:t xml:space="preserve">The GM SQE may also request on-site sub-tier supplier visits during the APQP process and conduct audits along with reviews of program status.  </w:t>
      </w:r>
      <w:r w:rsidR="00013787" w:rsidRPr="009C5C53">
        <w:t>Control plan audits</w:t>
      </w:r>
      <w:r w:rsidRPr="009C5C53">
        <w:t xml:space="preserve"> launch audits and G</w:t>
      </w:r>
      <w:r w:rsidR="007C281A" w:rsidRPr="009C5C53">
        <w:t>M 1927 28</w:t>
      </w:r>
      <w:r w:rsidR="000514A1" w:rsidRPr="009C5C53">
        <w:t xml:space="preserve"> Early Production Containment Verification</w:t>
      </w:r>
      <w:r w:rsidRPr="009C5C53">
        <w:t xml:space="preserve"> audits should be used as appropriate and at the discretion of the GM SQE.  These visits should include product engineering and other support resources as needed and shall be coordinated through the Tier 1’s supplier management structure.</w:t>
      </w:r>
    </w:p>
    <w:p w14:paraId="28519A58" w14:textId="77777777" w:rsidR="00D57B96" w:rsidRPr="00FE6624" w:rsidRDefault="00D57B96" w:rsidP="00D73BF6">
      <w:pPr>
        <w:pStyle w:val="ListParagraph"/>
        <w:numPr>
          <w:ilvl w:val="1"/>
          <w:numId w:val="41"/>
        </w:numPr>
        <w:spacing w:before="0" w:after="0"/>
        <w:jc w:val="left"/>
        <w:rPr>
          <w:iCs/>
        </w:rPr>
      </w:pPr>
      <w:r w:rsidRPr="00FE6624">
        <w:rPr>
          <w:iCs/>
        </w:rPr>
        <w:t>Design Reviews:</w:t>
      </w:r>
    </w:p>
    <w:p w14:paraId="28519A5C" w14:textId="77DD81A8" w:rsidR="002D0766" w:rsidRPr="009C5C53" w:rsidRDefault="00D57B96" w:rsidP="00FE6624">
      <w:pPr>
        <w:pStyle w:val="ListParagraph"/>
        <w:numPr>
          <w:ilvl w:val="2"/>
          <w:numId w:val="41"/>
        </w:numPr>
        <w:spacing w:before="0" w:after="0"/>
        <w:jc w:val="left"/>
      </w:pPr>
      <w:r w:rsidRPr="009C5C53">
        <w:t>Design reviews sh</w:t>
      </w:r>
      <w:r w:rsidR="00572361" w:rsidRPr="009C5C53">
        <w:t>all</w:t>
      </w:r>
      <w:r w:rsidRPr="009C5C53">
        <w:t xml:space="preserve"> be conducted with the General Motors design release engineer and the sub-tier supplier to be sure that all product requirements, special characteristics, customer used (pass thru) features, etc. are well understood and comprehended in production process planning.  The review of appropriate engineering documents (DFMEAs, drawings, etc.) will help assure that proper controls are established in the sub-tier manufacturing process with robust PFMEAs and control plans.  This activity shall be focused on “Critical” suppliers with the intent of completed reviews for all purchased parts.  Appropriate controls shall be implemented for special characteristics to assure capability indices are maintained and attribute quality characteristics are 100% verified.</w:t>
      </w:r>
    </w:p>
    <w:p w14:paraId="28519A5D" w14:textId="77777777" w:rsidR="00D57B96" w:rsidRPr="00FE6624" w:rsidRDefault="00D57B96" w:rsidP="00D73BF6">
      <w:pPr>
        <w:pStyle w:val="ListParagraph"/>
        <w:numPr>
          <w:ilvl w:val="1"/>
          <w:numId w:val="41"/>
        </w:numPr>
        <w:spacing w:before="0" w:after="0"/>
        <w:jc w:val="left"/>
        <w:rPr>
          <w:iCs/>
        </w:rPr>
      </w:pPr>
      <w:r w:rsidRPr="00FE6624">
        <w:rPr>
          <w:iCs/>
        </w:rPr>
        <w:t>PPAP:</w:t>
      </w:r>
    </w:p>
    <w:p w14:paraId="28519A5F" w14:textId="215A0167" w:rsidR="00D57B96" w:rsidRPr="009C5C53" w:rsidRDefault="00D57B96" w:rsidP="00D73BF6">
      <w:pPr>
        <w:pStyle w:val="ListParagraph"/>
        <w:numPr>
          <w:ilvl w:val="2"/>
          <w:numId w:val="41"/>
        </w:numPr>
        <w:spacing w:before="0" w:after="0"/>
        <w:jc w:val="left"/>
      </w:pPr>
      <w:r w:rsidRPr="009C5C53">
        <w:t>All sub-tier suppliers shall achieve successful completion of Full PPAP before Full PPAP approval can be issued to the Tier 1 supplier.  PPAP approvals should be conducted on site at all sub-tier suppliers identified as “Critical”.  Audits of sub-tier PPAP submissions (warrants, dimensional data, materials information, etc.) may be requested by the GM SQE at any time.</w:t>
      </w:r>
    </w:p>
    <w:p w14:paraId="28519A60" w14:textId="5DF396A3" w:rsidR="00D57B96" w:rsidRPr="00FE6624" w:rsidRDefault="00D57B96" w:rsidP="00D73BF6">
      <w:pPr>
        <w:pStyle w:val="ListParagraph"/>
        <w:numPr>
          <w:ilvl w:val="1"/>
          <w:numId w:val="41"/>
        </w:numPr>
        <w:spacing w:before="0" w:after="0"/>
        <w:jc w:val="left"/>
        <w:rPr>
          <w:iCs/>
        </w:rPr>
      </w:pPr>
      <w:r w:rsidRPr="00FE6624">
        <w:rPr>
          <w:iCs/>
        </w:rPr>
        <w:t>Capacity Verification</w:t>
      </w:r>
      <w:r w:rsidR="0007499D" w:rsidRPr="00FE6624">
        <w:rPr>
          <w:iCs/>
        </w:rPr>
        <w:t xml:space="preserve"> GM</w:t>
      </w:r>
      <w:r w:rsidR="00E9070D" w:rsidRPr="00FE6624">
        <w:rPr>
          <w:iCs/>
        </w:rPr>
        <w:t xml:space="preserve"> </w:t>
      </w:r>
      <w:r w:rsidR="0007499D" w:rsidRPr="00FE6624">
        <w:rPr>
          <w:iCs/>
        </w:rPr>
        <w:t>1927 35</w:t>
      </w:r>
      <w:r w:rsidRPr="00FE6624">
        <w:rPr>
          <w:iCs/>
        </w:rPr>
        <w:t xml:space="preserve"> Run @ Rate:</w:t>
      </w:r>
    </w:p>
    <w:p w14:paraId="28519A61" w14:textId="5EA7830F" w:rsidR="00D57B96" w:rsidRPr="009C5C53" w:rsidRDefault="00D57B96" w:rsidP="00D73BF6">
      <w:pPr>
        <w:pStyle w:val="ListParagraph"/>
        <w:numPr>
          <w:ilvl w:val="2"/>
          <w:numId w:val="41"/>
        </w:numPr>
        <w:spacing w:before="0" w:after="0"/>
        <w:jc w:val="left"/>
      </w:pPr>
      <w:r w:rsidRPr="009C5C53">
        <w:t xml:space="preserve">Capacity verification shall occur at all sub-tier suppliers. </w:t>
      </w:r>
      <w:r w:rsidR="0007499D" w:rsidRPr="009C5C53">
        <w:t>GM</w:t>
      </w:r>
      <w:r w:rsidR="00E9070D">
        <w:t xml:space="preserve"> </w:t>
      </w:r>
      <w:r w:rsidR="0007499D" w:rsidRPr="009C5C53">
        <w:t xml:space="preserve">1927 35 </w:t>
      </w:r>
      <w:r w:rsidRPr="009C5C53">
        <w:t xml:space="preserve">Run @ Rate </w:t>
      </w:r>
      <w:r w:rsidR="00266CD0">
        <w:t>P</w:t>
      </w:r>
      <w:r w:rsidRPr="009C5C53">
        <w:t>rocedure should be used for this verification.  The workbook in this procedure should be completed as early as possible in the APQP process for capacity planning and updated throughout the program as progress is made toward full capacity installation.  On-site capacity verification shall occur for “Critical” sub-tier suppliers.</w:t>
      </w:r>
    </w:p>
    <w:p w14:paraId="28519A62" w14:textId="77777777" w:rsidR="00D57B96" w:rsidRPr="009C5C53" w:rsidRDefault="00D57B96" w:rsidP="00D73BF6">
      <w:pPr>
        <w:pStyle w:val="ListParagraph"/>
        <w:numPr>
          <w:ilvl w:val="2"/>
          <w:numId w:val="41"/>
        </w:numPr>
        <w:spacing w:before="0" w:after="0"/>
        <w:jc w:val="left"/>
      </w:pPr>
      <w:r w:rsidRPr="009C5C53">
        <w:t xml:space="preserve">Sub-tier suppliers may be exempt from capacity verification (non-critical components like simple discrete electronic components or stock fasteners), however shall confirm ample capacity is </w:t>
      </w:r>
      <w:r w:rsidRPr="009C5C53">
        <w:lastRenderedPageBreak/>
        <w:t>available to meet GM requirements.  Rationale for exempting capacity verification of sub-tiers should be reviewed with the responsible GM SQE.</w:t>
      </w:r>
    </w:p>
    <w:p w14:paraId="28519A63" w14:textId="77777777" w:rsidR="00D57B96" w:rsidRPr="009C5C53" w:rsidRDefault="00D57B96" w:rsidP="00D73BF6">
      <w:pPr>
        <w:spacing w:before="0" w:after="0"/>
        <w:jc w:val="left"/>
      </w:pPr>
    </w:p>
    <w:p w14:paraId="28519A65" w14:textId="40C8E1E3" w:rsidR="00D57B96" w:rsidRPr="00FE6624" w:rsidRDefault="00A17904" w:rsidP="00D73BF6">
      <w:pPr>
        <w:pStyle w:val="ListParagraph"/>
        <w:numPr>
          <w:ilvl w:val="0"/>
          <w:numId w:val="41"/>
        </w:numPr>
        <w:spacing w:before="0" w:after="0"/>
        <w:jc w:val="left"/>
        <w:rPr>
          <w:rFonts w:cs="Arial"/>
          <w:b/>
          <w:sz w:val="24"/>
          <w:szCs w:val="24"/>
          <w:u w:val="single"/>
        </w:rPr>
      </w:pPr>
      <w:r w:rsidRPr="009C5C53">
        <w:rPr>
          <w:rFonts w:cs="Arial"/>
          <w:b/>
          <w:sz w:val="24"/>
          <w:szCs w:val="24"/>
          <w:u w:val="single"/>
        </w:rPr>
        <w:t xml:space="preserve">GM1927 28 </w:t>
      </w:r>
      <w:r w:rsidR="00D57B96" w:rsidRPr="009C5C53">
        <w:rPr>
          <w:rFonts w:cs="Arial"/>
          <w:b/>
          <w:sz w:val="24"/>
          <w:szCs w:val="24"/>
          <w:u w:val="single"/>
        </w:rPr>
        <w:t xml:space="preserve">Early Production </w:t>
      </w:r>
      <w:r w:rsidR="00FE6624" w:rsidRPr="009C5C53">
        <w:rPr>
          <w:rFonts w:cs="Arial"/>
          <w:b/>
          <w:sz w:val="24"/>
          <w:szCs w:val="24"/>
          <w:u w:val="single"/>
        </w:rPr>
        <w:t>Containment:</w:t>
      </w:r>
    </w:p>
    <w:p w14:paraId="28519A66" w14:textId="3090220E" w:rsidR="00D57B96" w:rsidRPr="009C5C53" w:rsidRDefault="00D57B96" w:rsidP="00D73BF6">
      <w:pPr>
        <w:pStyle w:val="ListParagraph"/>
        <w:numPr>
          <w:ilvl w:val="1"/>
          <w:numId w:val="41"/>
        </w:numPr>
        <w:spacing w:before="0" w:after="0"/>
        <w:jc w:val="left"/>
      </w:pPr>
      <w:r w:rsidRPr="009C5C53">
        <w:t>Sub-tier suppliers shall implement a pre-launch control plan which is a significant enhancement to the production control plan for the purpose of early production containment.  All elements of GM</w:t>
      </w:r>
      <w:r w:rsidR="006652B6" w:rsidRPr="009C5C53">
        <w:t xml:space="preserve">1927 28 </w:t>
      </w:r>
      <w:r w:rsidRPr="009C5C53">
        <w:t xml:space="preserve">apply to sub-tiers as they do to Tier 1 suppliers.  GM supplier quality engineers may request and participate in </w:t>
      </w:r>
      <w:r w:rsidR="006652B6" w:rsidRPr="009C5C53">
        <w:t>GM</w:t>
      </w:r>
      <w:r w:rsidR="00E9070D">
        <w:t xml:space="preserve"> </w:t>
      </w:r>
      <w:r w:rsidR="006652B6" w:rsidRPr="009C5C53">
        <w:t xml:space="preserve">1927 28 </w:t>
      </w:r>
      <w:r w:rsidRPr="009C5C53">
        <w:t xml:space="preserve">audits of select sub-tier suppliers based on risk.  </w:t>
      </w:r>
      <w:r w:rsidR="00AA4A44" w:rsidRPr="009C5C53">
        <w:t>GM</w:t>
      </w:r>
      <w:r w:rsidR="00E9070D">
        <w:t xml:space="preserve"> </w:t>
      </w:r>
      <w:r w:rsidR="00AA4A44" w:rsidRPr="009C5C53">
        <w:t xml:space="preserve">1927 28 Early Production Containment </w:t>
      </w:r>
      <w:r w:rsidRPr="009C5C53">
        <w:t>inspection area evaluations should include:</w:t>
      </w:r>
    </w:p>
    <w:p w14:paraId="28519A67" w14:textId="77777777" w:rsidR="00D57B96" w:rsidRPr="009C5C53" w:rsidRDefault="00D57B96" w:rsidP="00D73BF6">
      <w:pPr>
        <w:pStyle w:val="ListParagraph"/>
        <w:numPr>
          <w:ilvl w:val="2"/>
          <w:numId w:val="41"/>
        </w:numPr>
        <w:spacing w:before="0" w:after="0"/>
        <w:jc w:val="left"/>
      </w:pPr>
      <w:r w:rsidRPr="009C5C53">
        <w:t xml:space="preserve">Proper layout, including necessary </w:t>
      </w:r>
      <w:proofErr w:type="gramStart"/>
      <w:r w:rsidRPr="009C5C53">
        <w:t>work stations</w:t>
      </w:r>
      <w:proofErr w:type="gramEnd"/>
      <w:r w:rsidRPr="009C5C53">
        <w:t>, benches and tables</w:t>
      </w:r>
    </w:p>
    <w:p w14:paraId="28519A68" w14:textId="77777777" w:rsidR="00D57B96" w:rsidRPr="009C5C53" w:rsidRDefault="00D57B96" w:rsidP="00D73BF6">
      <w:pPr>
        <w:pStyle w:val="ListParagraph"/>
        <w:numPr>
          <w:ilvl w:val="2"/>
          <w:numId w:val="41"/>
        </w:numPr>
        <w:spacing w:before="0" w:after="0"/>
        <w:jc w:val="left"/>
      </w:pPr>
      <w:r w:rsidRPr="009C5C53">
        <w:t>Sufficient lighting</w:t>
      </w:r>
    </w:p>
    <w:p w14:paraId="28519A69" w14:textId="77777777" w:rsidR="00D57B96" w:rsidRPr="009C5C53" w:rsidRDefault="00D57B96" w:rsidP="00D73BF6">
      <w:pPr>
        <w:pStyle w:val="ListParagraph"/>
        <w:numPr>
          <w:ilvl w:val="2"/>
          <w:numId w:val="41"/>
        </w:numPr>
        <w:spacing w:before="0" w:after="0"/>
        <w:jc w:val="left"/>
      </w:pPr>
      <w:r w:rsidRPr="009C5C53">
        <w:t xml:space="preserve">Proper staging areas for the parts (Green (OK), Red (NOK), Yellow (waiting for inspection)) </w:t>
      </w:r>
    </w:p>
    <w:p w14:paraId="28519A6A" w14:textId="77777777" w:rsidR="00D57B96" w:rsidRPr="009C5C53" w:rsidRDefault="00D57B96" w:rsidP="00D73BF6">
      <w:pPr>
        <w:pStyle w:val="ListParagraph"/>
        <w:numPr>
          <w:ilvl w:val="2"/>
          <w:numId w:val="41"/>
        </w:numPr>
        <w:spacing w:before="0" w:after="0"/>
        <w:jc w:val="left"/>
      </w:pPr>
      <w:r w:rsidRPr="009C5C53">
        <w:t>Clear understandable visual standards with boundary samples</w:t>
      </w:r>
    </w:p>
    <w:p w14:paraId="28519A6B" w14:textId="48C456F1" w:rsidR="00D57B96" w:rsidRPr="009C5C53" w:rsidRDefault="00D57B96" w:rsidP="00D73BF6">
      <w:pPr>
        <w:pStyle w:val="ListParagraph"/>
        <w:numPr>
          <w:ilvl w:val="2"/>
          <w:numId w:val="41"/>
        </w:numPr>
        <w:spacing w:before="0" w:after="0"/>
        <w:jc w:val="left"/>
      </w:pPr>
      <w:r w:rsidRPr="009C5C53">
        <w:t>Ga</w:t>
      </w:r>
      <w:r w:rsidR="00AA4A44" w:rsidRPr="009C5C53">
        <w:t>u</w:t>
      </w:r>
      <w:r w:rsidRPr="009C5C53">
        <w:t xml:space="preserve">ges </w:t>
      </w:r>
    </w:p>
    <w:p w14:paraId="28519A6C" w14:textId="77777777" w:rsidR="00D57B96" w:rsidRPr="009C5C53" w:rsidRDefault="00D57B96" w:rsidP="00D73BF6">
      <w:pPr>
        <w:pStyle w:val="ListParagraph"/>
        <w:numPr>
          <w:ilvl w:val="2"/>
          <w:numId w:val="41"/>
        </w:numPr>
        <w:spacing w:before="0" w:after="0"/>
        <w:jc w:val="left"/>
      </w:pPr>
      <w:r w:rsidRPr="009C5C53">
        <w:t>Standardized work instructions</w:t>
      </w:r>
    </w:p>
    <w:p w14:paraId="28519A6D" w14:textId="77777777" w:rsidR="00D57B96" w:rsidRPr="009C5C53" w:rsidRDefault="00D57B96" w:rsidP="00D73BF6">
      <w:pPr>
        <w:pStyle w:val="ListParagraph"/>
        <w:numPr>
          <w:ilvl w:val="2"/>
          <w:numId w:val="41"/>
        </w:numPr>
        <w:spacing w:before="0" w:after="0"/>
        <w:jc w:val="left"/>
      </w:pPr>
      <w:r w:rsidRPr="009C5C53">
        <w:t>Recording sheets/data acquisition equipment</w:t>
      </w:r>
    </w:p>
    <w:p w14:paraId="28519A6F" w14:textId="5BF0E06E" w:rsidR="00D57B96" w:rsidRPr="009C5C53" w:rsidRDefault="00AA4A44" w:rsidP="00D73BF6">
      <w:pPr>
        <w:pStyle w:val="ListParagraph"/>
        <w:numPr>
          <w:ilvl w:val="1"/>
          <w:numId w:val="41"/>
        </w:numPr>
        <w:spacing w:before="0" w:after="0"/>
        <w:jc w:val="left"/>
      </w:pPr>
      <w:r w:rsidRPr="009C5C53">
        <w:t>GM</w:t>
      </w:r>
      <w:r w:rsidR="00787521">
        <w:t xml:space="preserve"> </w:t>
      </w:r>
      <w:r w:rsidRPr="009C5C53">
        <w:t xml:space="preserve">1927 28 Early Production Containment </w:t>
      </w:r>
      <w:r w:rsidR="00D57B96" w:rsidRPr="009C5C53">
        <w:t xml:space="preserve">exit criteria shall be made clear to sub-tiers and require approval from the Tier 1 before doing so.  Exits from </w:t>
      </w:r>
      <w:r w:rsidRPr="009C5C53">
        <w:t>GM</w:t>
      </w:r>
      <w:r w:rsidR="00787521">
        <w:t xml:space="preserve"> </w:t>
      </w:r>
      <w:r w:rsidRPr="009C5C53">
        <w:t xml:space="preserve">1927 28 Early Production Containment </w:t>
      </w:r>
      <w:r w:rsidR="00D57B96" w:rsidRPr="009C5C53">
        <w:t xml:space="preserve">shall be documented with formal request and approvals.  </w:t>
      </w:r>
      <w:r w:rsidR="00FA50C2" w:rsidRPr="009C5C53">
        <w:t>GM</w:t>
      </w:r>
      <w:r w:rsidR="00787521">
        <w:t xml:space="preserve"> </w:t>
      </w:r>
      <w:r w:rsidR="00FA50C2" w:rsidRPr="009C5C53">
        <w:t xml:space="preserve">1927 28 Early Production Containment </w:t>
      </w:r>
      <w:r w:rsidR="00D57B96" w:rsidRPr="009C5C53">
        <w:t>should be extended for those sub-tier suppliers who have not demonstrated control with their production process control plans.</w:t>
      </w:r>
    </w:p>
    <w:p w14:paraId="28519A70" w14:textId="77777777" w:rsidR="00D57B96" w:rsidRPr="009C5C53" w:rsidRDefault="00D57B96" w:rsidP="00FE6624">
      <w:pPr>
        <w:spacing w:before="0" w:after="0"/>
        <w:jc w:val="left"/>
      </w:pPr>
    </w:p>
    <w:p w14:paraId="28519A71" w14:textId="77777777" w:rsidR="00D57B96" w:rsidRPr="009C5C53" w:rsidRDefault="00D57B96" w:rsidP="00D73BF6">
      <w:pPr>
        <w:pStyle w:val="ListParagraph"/>
        <w:numPr>
          <w:ilvl w:val="0"/>
          <w:numId w:val="41"/>
        </w:numPr>
        <w:spacing w:before="0" w:after="0"/>
        <w:jc w:val="left"/>
        <w:rPr>
          <w:rFonts w:cs="Arial"/>
          <w:b/>
          <w:sz w:val="24"/>
          <w:szCs w:val="24"/>
          <w:u w:val="single"/>
        </w:rPr>
      </w:pPr>
      <w:r w:rsidRPr="009C5C53">
        <w:rPr>
          <w:rFonts w:cs="Arial"/>
          <w:b/>
          <w:sz w:val="24"/>
          <w:szCs w:val="24"/>
          <w:u w:val="single"/>
        </w:rPr>
        <w:t>Process Control and Audit</w:t>
      </w:r>
    </w:p>
    <w:p w14:paraId="5EBC7715" w14:textId="77777777" w:rsidR="001230DB" w:rsidRPr="009C5C53" w:rsidRDefault="00D57B96" w:rsidP="001230DB">
      <w:pPr>
        <w:pStyle w:val="ListParagraph"/>
        <w:numPr>
          <w:ilvl w:val="1"/>
          <w:numId w:val="41"/>
        </w:numPr>
        <w:spacing w:before="0" w:after="0"/>
        <w:jc w:val="left"/>
      </w:pPr>
      <w:r w:rsidRPr="009C5C53">
        <w:t>Sub-tier process control plan audits should be completed at appropriate times prior to launch and on an ongoing basis for monitoring of sub-tier compliance to process controls and continuous improvement.  Individuals in the supplier management structure shall be trained to audit and follow accepted practices for review of documentation and records.  The GM SQE and other GM personnel may periodically request to join in audits of sub-tier process controls.</w:t>
      </w:r>
    </w:p>
    <w:p w14:paraId="55854D33" w14:textId="6E6FAE47" w:rsidR="001230DB" w:rsidRPr="009C5C53" w:rsidRDefault="001230DB" w:rsidP="00FE6624">
      <w:pPr>
        <w:pStyle w:val="ListParagraph"/>
        <w:numPr>
          <w:ilvl w:val="1"/>
          <w:numId w:val="41"/>
        </w:numPr>
        <w:spacing w:before="0" w:after="0"/>
        <w:jc w:val="left"/>
      </w:pPr>
      <w:r w:rsidRPr="009C5C53">
        <w:t xml:space="preserve">Tier 1 shall provide evidence that all sub tiers have risk mitigated failure modes in their Process Control Plan prior to production tooling release (TKO) and following reassessment for any additional design or process changes implemented thru start of production. </w:t>
      </w:r>
    </w:p>
    <w:p w14:paraId="28519A73" w14:textId="77777777" w:rsidR="00D57B96" w:rsidRPr="009C5C53" w:rsidRDefault="00D57B96" w:rsidP="00D73BF6">
      <w:pPr>
        <w:spacing w:before="0" w:after="0"/>
        <w:jc w:val="left"/>
      </w:pPr>
    </w:p>
    <w:p w14:paraId="28519A74" w14:textId="77777777" w:rsidR="00D57B96" w:rsidRPr="009C5C53" w:rsidRDefault="00D57B96" w:rsidP="00D73BF6">
      <w:pPr>
        <w:pStyle w:val="ListParagraph"/>
        <w:numPr>
          <w:ilvl w:val="0"/>
          <w:numId w:val="41"/>
        </w:numPr>
        <w:spacing w:before="0" w:after="0"/>
        <w:jc w:val="left"/>
        <w:rPr>
          <w:rFonts w:cs="Arial"/>
          <w:b/>
          <w:sz w:val="24"/>
          <w:szCs w:val="24"/>
          <w:u w:val="single"/>
        </w:rPr>
      </w:pPr>
      <w:r w:rsidRPr="009C5C53">
        <w:rPr>
          <w:rFonts w:cs="Arial"/>
          <w:b/>
          <w:sz w:val="24"/>
          <w:szCs w:val="24"/>
          <w:u w:val="single"/>
        </w:rPr>
        <w:t>Problem Communication and Resolution</w:t>
      </w:r>
    </w:p>
    <w:p w14:paraId="28519A75" w14:textId="219414F1" w:rsidR="00D57B96" w:rsidRDefault="00D57B96" w:rsidP="009767DE">
      <w:pPr>
        <w:pStyle w:val="ListParagraph"/>
        <w:numPr>
          <w:ilvl w:val="1"/>
          <w:numId w:val="41"/>
        </w:numPr>
        <w:spacing w:before="0" w:after="0"/>
        <w:jc w:val="left"/>
      </w:pPr>
      <w:r w:rsidRPr="009C5C53">
        <w:t xml:space="preserve">A problem communication process </w:t>
      </w:r>
      <w:r w:rsidR="0040328A" w:rsidRPr="009C5C53">
        <w:t xml:space="preserve">(Escalation Process) </w:t>
      </w:r>
      <w:r w:rsidRPr="009C5C53">
        <w:t xml:space="preserve">shall be established to provide for resolution of issues with sub-tier suppliers.  Problems communicated shall require the sub-tier to initiate immediate containment and provide certified material to support ongoing production.  Sub-tiers shall follow an effective </w:t>
      </w:r>
      <w:r w:rsidR="00013787" w:rsidRPr="009C5C53">
        <w:t>problem-solving</w:t>
      </w:r>
      <w:r w:rsidRPr="009C5C53">
        <w:t xml:space="preserve"> process for issues brought to their attention and corrective actions should be verified as required by the supplier management organization.  </w:t>
      </w:r>
    </w:p>
    <w:p w14:paraId="48F42D9A" w14:textId="77777777" w:rsidR="00FE6624" w:rsidRPr="009C5C53" w:rsidRDefault="00FE6624" w:rsidP="00FE6624">
      <w:pPr>
        <w:pStyle w:val="ListParagraph"/>
        <w:spacing w:before="0" w:after="0"/>
        <w:ind w:left="792"/>
        <w:jc w:val="left"/>
      </w:pPr>
    </w:p>
    <w:p w14:paraId="28519A77" w14:textId="1AE7BFAE" w:rsidR="00D57B96" w:rsidRPr="009C5C53" w:rsidRDefault="00D57B96" w:rsidP="00FE6624">
      <w:pPr>
        <w:pStyle w:val="ListParagraph"/>
        <w:numPr>
          <w:ilvl w:val="0"/>
          <w:numId w:val="41"/>
        </w:numPr>
        <w:spacing w:before="0" w:after="0"/>
        <w:jc w:val="left"/>
      </w:pPr>
      <w:r w:rsidRPr="00FE6624">
        <w:rPr>
          <w:rFonts w:cs="Arial"/>
          <w:b/>
          <w:sz w:val="24"/>
          <w:szCs w:val="24"/>
          <w:u w:val="single"/>
        </w:rPr>
        <w:t>Performance Tracking</w:t>
      </w:r>
    </w:p>
    <w:p w14:paraId="28519A78" w14:textId="77777777" w:rsidR="00D57B96" w:rsidRPr="009C5C53" w:rsidRDefault="00D57B96" w:rsidP="00FE6624">
      <w:pPr>
        <w:pStyle w:val="ListParagraph"/>
        <w:numPr>
          <w:ilvl w:val="1"/>
          <w:numId w:val="41"/>
        </w:numPr>
        <w:spacing w:before="0" w:after="0"/>
        <w:ind w:left="810" w:hanging="450"/>
        <w:jc w:val="left"/>
      </w:pPr>
      <w:r w:rsidRPr="009C5C53">
        <w:t xml:space="preserve">Suppliers shall monitor sub-tier suppliers’ performance against expectations.  Performance monitoring should </w:t>
      </w:r>
      <w:proofErr w:type="gramStart"/>
      <w:r w:rsidRPr="009C5C53">
        <w:t>be connected with</w:t>
      </w:r>
      <w:proofErr w:type="gramEnd"/>
      <w:r w:rsidRPr="009C5C53">
        <w:t xml:space="preserve"> the sourcing process and be used as means to prioritize resources for audits and other continuous improvement activities.  Performance monitoring may include problem reporting, discrepant part counts, PPM, program management performance, etc. and should be tracked over time.</w:t>
      </w:r>
    </w:p>
    <w:p w14:paraId="28519A79" w14:textId="77777777" w:rsidR="00D57B96" w:rsidRPr="009C5C53" w:rsidRDefault="00D57B96" w:rsidP="00FE6624">
      <w:pPr>
        <w:pStyle w:val="ListParagraph"/>
        <w:numPr>
          <w:ilvl w:val="1"/>
          <w:numId w:val="41"/>
        </w:numPr>
        <w:spacing w:before="0" w:after="0"/>
        <w:ind w:left="810" w:hanging="450"/>
        <w:jc w:val="left"/>
      </w:pPr>
      <w:r w:rsidRPr="009C5C53">
        <w:t>Continuous improvement activities expected for sub-tier suppliers should drive reductions in the number of problems reported, read across of corrective actions to like products / facilities and RISK ANALYSIS with improved process controls.</w:t>
      </w:r>
    </w:p>
    <w:p w14:paraId="28519A7A" w14:textId="77777777" w:rsidR="00D57B96" w:rsidRPr="009C5C53" w:rsidRDefault="00D57B96" w:rsidP="00D73BF6">
      <w:pPr>
        <w:spacing w:before="0" w:after="0"/>
        <w:jc w:val="left"/>
      </w:pPr>
    </w:p>
    <w:p w14:paraId="28519A7B" w14:textId="77777777" w:rsidR="00D57B96" w:rsidRPr="009C5C53" w:rsidRDefault="00D57B96" w:rsidP="00D73BF6">
      <w:pPr>
        <w:pStyle w:val="ListParagraph"/>
        <w:numPr>
          <w:ilvl w:val="0"/>
          <w:numId w:val="41"/>
        </w:numPr>
        <w:spacing w:before="0" w:after="0"/>
        <w:jc w:val="left"/>
        <w:rPr>
          <w:rFonts w:cs="Arial"/>
          <w:b/>
          <w:sz w:val="24"/>
          <w:szCs w:val="24"/>
          <w:u w:val="single"/>
        </w:rPr>
      </w:pPr>
      <w:r w:rsidRPr="009C5C53">
        <w:rPr>
          <w:rFonts w:cs="Arial"/>
          <w:b/>
          <w:sz w:val="24"/>
          <w:szCs w:val="24"/>
          <w:u w:val="single"/>
        </w:rPr>
        <w:t>Change Management</w:t>
      </w:r>
    </w:p>
    <w:p w14:paraId="28519A7C" w14:textId="77777777" w:rsidR="00D57B96" w:rsidRPr="009C5C53" w:rsidRDefault="00D57B96" w:rsidP="00FE6624">
      <w:pPr>
        <w:pStyle w:val="ListParagraph"/>
        <w:numPr>
          <w:ilvl w:val="1"/>
          <w:numId w:val="41"/>
        </w:numPr>
        <w:spacing w:before="0" w:after="0"/>
        <w:ind w:left="810" w:hanging="450"/>
        <w:jc w:val="left"/>
      </w:pPr>
      <w:r w:rsidRPr="009C5C53">
        <w:t>Suppliers shall have a process to manage sub-tier changes.  Any sub-tier changes that may affect fit, form or function of the GM purchased part requires notification to GM and approval prior to executing the change.  Suppliers shall have a process to track sub-tier changes and breakpoints.  Change management procedures should include the following in scope:</w:t>
      </w:r>
    </w:p>
    <w:p w14:paraId="28519A7D" w14:textId="77777777" w:rsidR="00D57B96" w:rsidRPr="009C5C53" w:rsidRDefault="00D57B96" w:rsidP="00D73BF6">
      <w:pPr>
        <w:pStyle w:val="ListParagraph"/>
        <w:numPr>
          <w:ilvl w:val="2"/>
          <w:numId w:val="41"/>
        </w:numPr>
        <w:spacing w:before="0" w:after="0"/>
        <w:jc w:val="left"/>
      </w:pPr>
      <w:r w:rsidRPr="009C5C53">
        <w:t>Change in sub-tier supplier or manufacturing location</w:t>
      </w:r>
    </w:p>
    <w:p w14:paraId="28519A7E" w14:textId="77777777" w:rsidR="00D57B96" w:rsidRPr="009C5C53" w:rsidRDefault="00D57B96" w:rsidP="00D73BF6">
      <w:pPr>
        <w:pStyle w:val="ListParagraph"/>
        <w:numPr>
          <w:ilvl w:val="2"/>
          <w:numId w:val="41"/>
        </w:numPr>
        <w:spacing w:before="0" w:after="0"/>
        <w:jc w:val="left"/>
      </w:pPr>
      <w:r w:rsidRPr="009C5C53">
        <w:t>Manufacturing process change</w:t>
      </w:r>
    </w:p>
    <w:p w14:paraId="28519A7F" w14:textId="77777777" w:rsidR="00D57B96" w:rsidRPr="009C5C53" w:rsidRDefault="00D57B96" w:rsidP="00D73BF6">
      <w:pPr>
        <w:pStyle w:val="ListParagraph"/>
        <w:numPr>
          <w:ilvl w:val="2"/>
          <w:numId w:val="41"/>
        </w:numPr>
        <w:spacing w:before="0" w:after="0"/>
        <w:jc w:val="left"/>
      </w:pPr>
      <w:r w:rsidRPr="009C5C53">
        <w:lastRenderedPageBreak/>
        <w:t>Change in sub-tier component design or material</w:t>
      </w:r>
    </w:p>
    <w:p w14:paraId="740E5C43" w14:textId="77777777" w:rsidR="001230DB" w:rsidRPr="009C5C53" w:rsidRDefault="00D57B96" w:rsidP="00D73BF6">
      <w:pPr>
        <w:pStyle w:val="ListParagraph"/>
        <w:numPr>
          <w:ilvl w:val="2"/>
          <w:numId w:val="41"/>
        </w:numPr>
        <w:spacing w:before="0" w:after="0"/>
        <w:jc w:val="left"/>
      </w:pPr>
      <w:r w:rsidRPr="009C5C53">
        <w:t>Change in sub-tier tooling</w:t>
      </w:r>
    </w:p>
    <w:p w14:paraId="28519A80" w14:textId="382805CD" w:rsidR="00D57B96" w:rsidRPr="009C5C53" w:rsidRDefault="001230DB" w:rsidP="00D73BF6">
      <w:pPr>
        <w:pStyle w:val="ListParagraph"/>
        <w:numPr>
          <w:ilvl w:val="2"/>
          <w:numId w:val="41"/>
        </w:numPr>
        <w:spacing w:before="0" w:after="0"/>
        <w:jc w:val="left"/>
      </w:pPr>
      <w:r w:rsidRPr="009C5C53">
        <w:t>Read across of new lessons learned</w:t>
      </w:r>
    </w:p>
    <w:p w14:paraId="28519A81" w14:textId="77777777" w:rsidR="00D57B96" w:rsidRDefault="00D57B96" w:rsidP="00D73BF6">
      <w:pPr>
        <w:spacing w:before="0" w:after="0"/>
        <w:jc w:val="left"/>
      </w:pPr>
    </w:p>
    <w:p w14:paraId="28519A82" w14:textId="77777777" w:rsidR="00D57B96" w:rsidRPr="009767DE" w:rsidRDefault="00D57B96" w:rsidP="00D73BF6">
      <w:pPr>
        <w:pStyle w:val="ListParagraph"/>
        <w:numPr>
          <w:ilvl w:val="0"/>
          <w:numId w:val="41"/>
        </w:numPr>
        <w:spacing w:before="0" w:after="0"/>
        <w:jc w:val="left"/>
        <w:rPr>
          <w:rFonts w:cs="Arial"/>
          <w:b/>
          <w:sz w:val="24"/>
          <w:szCs w:val="24"/>
          <w:u w:val="single"/>
        </w:rPr>
      </w:pPr>
      <w:r w:rsidRPr="009767DE">
        <w:rPr>
          <w:rFonts w:cs="Arial"/>
          <w:b/>
          <w:sz w:val="24"/>
          <w:szCs w:val="24"/>
          <w:u w:val="single"/>
        </w:rPr>
        <w:t>Sub-Tier Supplier Management</w:t>
      </w:r>
    </w:p>
    <w:p w14:paraId="28519A83" w14:textId="77777777" w:rsidR="00D57B96" w:rsidRDefault="00D57B96" w:rsidP="00FE6624">
      <w:pPr>
        <w:pStyle w:val="ListParagraph"/>
        <w:numPr>
          <w:ilvl w:val="1"/>
          <w:numId w:val="41"/>
        </w:numPr>
        <w:spacing w:before="0" w:after="0"/>
        <w:ind w:left="810" w:hanging="450"/>
        <w:jc w:val="left"/>
      </w:pPr>
      <w:r>
        <w:t>Suppliers to GM shall drive similar requirements as contained in this SOR to their suppliers.</w:t>
      </w:r>
    </w:p>
    <w:p w14:paraId="28519A84" w14:textId="77777777" w:rsidR="00D57B96" w:rsidRDefault="00D57B96" w:rsidP="00D57B96">
      <w:pPr>
        <w:spacing w:before="0" w:after="0"/>
        <w:jc w:val="left"/>
      </w:pPr>
    </w:p>
    <w:tbl>
      <w:tblPr>
        <w:tblW w:w="9702" w:type="dxa"/>
        <w:tblInd w:w="108" w:type="dxa"/>
        <w:tblLook w:val="04A0" w:firstRow="1" w:lastRow="0" w:firstColumn="1" w:lastColumn="0" w:noHBand="0" w:noVBand="1"/>
      </w:tblPr>
      <w:tblGrid>
        <w:gridCol w:w="6102"/>
        <w:gridCol w:w="1710"/>
        <w:gridCol w:w="1890"/>
      </w:tblGrid>
      <w:tr w:rsidR="00D57B96" w:rsidRPr="009767DE" w14:paraId="28519A86" w14:textId="77777777" w:rsidTr="00D57B96">
        <w:trPr>
          <w:trHeight w:val="420"/>
        </w:trPr>
        <w:tc>
          <w:tcPr>
            <w:tcW w:w="9702" w:type="dxa"/>
            <w:gridSpan w:val="3"/>
            <w:tcBorders>
              <w:top w:val="nil"/>
              <w:left w:val="nil"/>
              <w:bottom w:val="single" w:sz="4" w:space="0" w:color="auto"/>
              <w:right w:val="nil"/>
            </w:tcBorders>
            <w:shd w:val="clear" w:color="auto" w:fill="auto"/>
            <w:noWrap/>
            <w:vAlign w:val="bottom"/>
            <w:hideMark/>
          </w:tcPr>
          <w:p w14:paraId="28519A85" w14:textId="77777777" w:rsidR="00D57B96" w:rsidRPr="009767DE" w:rsidRDefault="00D57B96" w:rsidP="00D57B96">
            <w:pPr>
              <w:spacing w:before="0" w:after="0"/>
              <w:jc w:val="left"/>
              <w:rPr>
                <w:b/>
                <w:bCs/>
              </w:rPr>
            </w:pPr>
            <w:r w:rsidRPr="009767DE">
              <w:rPr>
                <w:b/>
                <w:bCs/>
              </w:rPr>
              <w:t>Responsibility RASIC</w:t>
            </w:r>
            <w:r w:rsidR="009767DE" w:rsidRPr="009767DE">
              <w:rPr>
                <w:b/>
                <w:bCs/>
              </w:rPr>
              <w:t xml:space="preserve"> </w:t>
            </w:r>
          </w:p>
        </w:tc>
      </w:tr>
      <w:tr w:rsidR="00D57B96" w:rsidRPr="00D57B96" w14:paraId="28519A88" w14:textId="77777777" w:rsidTr="00D57B96">
        <w:trPr>
          <w:trHeight w:val="420"/>
        </w:trPr>
        <w:tc>
          <w:tcPr>
            <w:tcW w:w="9702" w:type="dxa"/>
            <w:gridSpan w:val="3"/>
            <w:tcBorders>
              <w:top w:val="nil"/>
              <w:left w:val="nil"/>
              <w:bottom w:val="single" w:sz="4" w:space="0" w:color="auto"/>
              <w:right w:val="nil"/>
            </w:tcBorders>
            <w:shd w:val="clear" w:color="auto" w:fill="auto"/>
            <w:noWrap/>
            <w:vAlign w:val="bottom"/>
          </w:tcPr>
          <w:p w14:paraId="28519A87" w14:textId="77777777" w:rsidR="00D57B96" w:rsidRPr="00D57B96" w:rsidRDefault="00D57B96" w:rsidP="00D57B96">
            <w:pPr>
              <w:spacing w:before="0" w:after="0"/>
              <w:jc w:val="left"/>
              <w:rPr>
                <w:b/>
                <w:bCs/>
              </w:rPr>
            </w:pPr>
          </w:p>
        </w:tc>
      </w:tr>
      <w:tr w:rsidR="00D57B96" w:rsidRPr="00D57B96" w14:paraId="28519A8C" w14:textId="77777777" w:rsidTr="00D57B96">
        <w:trPr>
          <w:trHeight w:val="312"/>
        </w:trPr>
        <w:tc>
          <w:tcPr>
            <w:tcW w:w="6102" w:type="dxa"/>
            <w:tcBorders>
              <w:top w:val="nil"/>
              <w:left w:val="single" w:sz="4" w:space="0" w:color="auto"/>
              <w:bottom w:val="single" w:sz="4" w:space="0" w:color="auto"/>
              <w:right w:val="single" w:sz="4" w:space="0" w:color="auto"/>
            </w:tcBorders>
            <w:shd w:val="clear" w:color="auto" w:fill="auto"/>
            <w:noWrap/>
            <w:vAlign w:val="bottom"/>
            <w:hideMark/>
          </w:tcPr>
          <w:p w14:paraId="28519A89" w14:textId="77777777" w:rsidR="00D57B96" w:rsidRPr="00D57B96" w:rsidRDefault="00D57B96" w:rsidP="00D57B96">
            <w:pPr>
              <w:spacing w:before="0" w:after="0"/>
              <w:jc w:val="left"/>
              <w:rPr>
                <w:b/>
                <w:bCs/>
              </w:rPr>
            </w:pPr>
            <w:r w:rsidRPr="00D57B96">
              <w:rPr>
                <w:b/>
                <w:bCs/>
              </w:rPr>
              <w:t>Task</w:t>
            </w:r>
          </w:p>
        </w:tc>
        <w:tc>
          <w:tcPr>
            <w:tcW w:w="1710" w:type="dxa"/>
            <w:tcBorders>
              <w:top w:val="nil"/>
              <w:left w:val="nil"/>
              <w:bottom w:val="single" w:sz="4" w:space="0" w:color="auto"/>
              <w:right w:val="single" w:sz="4" w:space="0" w:color="auto"/>
            </w:tcBorders>
            <w:shd w:val="clear" w:color="auto" w:fill="auto"/>
            <w:noWrap/>
            <w:vAlign w:val="bottom"/>
            <w:hideMark/>
          </w:tcPr>
          <w:p w14:paraId="28519A8A" w14:textId="77777777" w:rsidR="00D57B96" w:rsidRPr="00D57B96" w:rsidRDefault="00D57B96" w:rsidP="00D57B96">
            <w:pPr>
              <w:spacing w:before="0" w:after="0"/>
              <w:jc w:val="left"/>
              <w:rPr>
                <w:b/>
                <w:bCs/>
              </w:rPr>
            </w:pPr>
            <w:r w:rsidRPr="00D57B96">
              <w:rPr>
                <w:b/>
                <w:bCs/>
              </w:rPr>
              <w:t>Tier 1 Supplier</w:t>
            </w:r>
          </w:p>
        </w:tc>
        <w:tc>
          <w:tcPr>
            <w:tcW w:w="1890" w:type="dxa"/>
            <w:tcBorders>
              <w:top w:val="nil"/>
              <w:left w:val="nil"/>
              <w:bottom w:val="single" w:sz="4" w:space="0" w:color="auto"/>
              <w:right w:val="single" w:sz="4" w:space="0" w:color="auto"/>
            </w:tcBorders>
            <w:shd w:val="clear" w:color="auto" w:fill="auto"/>
            <w:noWrap/>
            <w:vAlign w:val="bottom"/>
            <w:hideMark/>
          </w:tcPr>
          <w:p w14:paraId="28519A8B" w14:textId="77777777" w:rsidR="00D57B96" w:rsidRPr="00D57B96" w:rsidRDefault="00D57B96" w:rsidP="00D57B96">
            <w:pPr>
              <w:spacing w:before="0" w:after="0"/>
              <w:jc w:val="left"/>
              <w:rPr>
                <w:b/>
                <w:bCs/>
              </w:rPr>
            </w:pPr>
            <w:r w:rsidRPr="00D57B96">
              <w:rPr>
                <w:b/>
                <w:bCs/>
              </w:rPr>
              <w:t>General Motors</w:t>
            </w:r>
          </w:p>
        </w:tc>
      </w:tr>
      <w:tr w:rsidR="00D57B96" w:rsidRPr="00D57B96" w14:paraId="28519A90" w14:textId="77777777" w:rsidTr="00D57B96">
        <w:trPr>
          <w:trHeight w:val="312"/>
        </w:trPr>
        <w:tc>
          <w:tcPr>
            <w:tcW w:w="6102" w:type="dxa"/>
            <w:tcBorders>
              <w:top w:val="nil"/>
              <w:left w:val="single" w:sz="4" w:space="0" w:color="auto"/>
              <w:bottom w:val="nil"/>
              <w:right w:val="single" w:sz="4" w:space="0" w:color="auto"/>
            </w:tcBorders>
            <w:shd w:val="clear" w:color="auto" w:fill="auto"/>
            <w:noWrap/>
            <w:vAlign w:val="bottom"/>
            <w:hideMark/>
          </w:tcPr>
          <w:p w14:paraId="28519A8D" w14:textId="77777777" w:rsidR="00D57B96" w:rsidRPr="00D57B96" w:rsidRDefault="00D57B96" w:rsidP="00D57B96">
            <w:pPr>
              <w:spacing w:before="0" w:after="0"/>
              <w:jc w:val="left"/>
              <w:rPr>
                <w:b/>
                <w:bCs/>
              </w:rPr>
            </w:pPr>
            <w:r w:rsidRPr="00D57B96">
              <w:rPr>
                <w:b/>
                <w:bCs/>
              </w:rPr>
              <w:t>1. Risk Evaluation of Sub Suppliers</w:t>
            </w:r>
          </w:p>
        </w:tc>
        <w:tc>
          <w:tcPr>
            <w:tcW w:w="1710" w:type="dxa"/>
            <w:tcBorders>
              <w:top w:val="nil"/>
              <w:left w:val="nil"/>
              <w:bottom w:val="nil"/>
              <w:right w:val="single" w:sz="4" w:space="0" w:color="auto"/>
            </w:tcBorders>
            <w:shd w:val="clear" w:color="auto" w:fill="auto"/>
            <w:noWrap/>
            <w:vAlign w:val="bottom"/>
            <w:hideMark/>
          </w:tcPr>
          <w:p w14:paraId="28519A8E" w14:textId="77777777" w:rsidR="00D57B96" w:rsidRPr="00D57B96" w:rsidRDefault="00D57B96" w:rsidP="00D57B96">
            <w:pPr>
              <w:spacing w:before="0" w:after="0"/>
              <w:jc w:val="left"/>
              <w:rPr>
                <w:b/>
                <w:bCs/>
              </w:rPr>
            </w:pPr>
            <w:r w:rsidRPr="00D57B96">
              <w:rPr>
                <w:b/>
                <w:bCs/>
              </w:rPr>
              <w:t>R</w:t>
            </w:r>
          </w:p>
        </w:tc>
        <w:tc>
          <w:tcPr>
            <w:tcW w:w="1890" w:type="dxa"/>
            <w:tcBorders>
              <w:top w:val="nil"/>
              <w:left w:val="nil"/>
              <w:bottom w:val="nil"/>
              <w:right w:val="single" w:sz="4" w:space="0" w:color="auto"/>
            </w:tcBorders>
            <w:shd w:val="clear" w:color="auto" w:fill="auto"/>
            <w:noWrap/>
            <w:vAlign w:val="bottom"/>
            <w:hideMark/>
          </w:tcPr>
          <w:p w14:paraId="28519A8F" w14:textId="77777777" w:rsidR="00D57B96" w:rsidRPr="00D57B96" w:rsidRDefault="00D57B96" w:rsidP="00D57B96">
            <w:pPr>
              <w:spacing w:before="0" w:after="0"/>
              <w:jc w:val="left"/>
              <w:rPr>
                <w:b/>
                <w:bCs/>
              </w:rPr>
            </w:pPr>
            <w:r w:rsidRPr="00D57B96">
              <w:rPr>
                <w:b/>
                <w:bCs/>
              </w:rPr>
              <w:t>S</w:t>
            </w:r>
          </w:p>
        </w:tc>
      </w:tr>
      <w:tr w:rsidR="00D57B96" w:rsidRPr="00D57B96" w14:paraId="28519A94" w14:textId="77777777" w:rsidTr="00D57B96">
        <w:trPr>
          <w:trHeight w:val="312"/>
        </w:trPr>
        <w:tc>
          <w:tcPr>
            <w:tcW w:w="6102" w:type="dxa"/>
            <w:tcBorders>
              <w:top w:val="nil"/>
              <w:left w:val="single" w:sz="4" w:space="0" w:color="auto"/>
              <w:bottom w:val="nil"/>
              <w:right w:val="single" w:sz="4" w:space="0" w:color="auto"/>
            </w:tcBorders>
            <w:shd w:val="clear" w:color="auto" w:fill="auto"/>
            <w:noWrap/>
            <w:vAlign w:val="bottom"/>
            <w:hideMark/>
          </w:tcPr>
          <w:p w14:paraId="28519A91" w14:textId="77777777" w:rsidR="00D57B96" w:rsidRPr="00D57B96" w:rsidRDefault="00D57B96" w:rsidP="00D57B96">
            <w:pPr>
              <w:spacing w:before="0" w:after="0"/>
              <w:jc w:val="left"/>
              <w:rPr>
                <w:b/>
                <w:bCs/>
              </w:rPr>
            </w:pPr>
            <w:r w:rsidRPr="00D57B96">
              <w:rPr>
                <w:b/>
                <w:bCs/>
              </w:rPr>
              <w:t>2. Conduct Quality System Assessment at Sub Tier Supplier</w:t>
            </w:r>
          </w:p>
        </w:tc>
        <w:tc>
          <w:tcPr>
            <w:tcW w:w="1710" w:type="dxa"/>
            <w:tcBorders>
              <w:top w:val="nil"/>
              <w:left w:val="nil"/>
              <w:bottom w:val="nil"/>
              <w:right w:val="single" w:sz="4" w:space="0" w:color="auto"/>
            </w:tcBorders>
            <w:shd w:val="clear" w:color="auto" w:fill="auto"/>
            <w:noWrap/>
            <w:vAlign w:val="bottom"/>
            <w:hideMark/>
          </w:tcPr>
          <w:p w14:paraId="28519A92" w14:textId="77777777" w:rsidR="00D57B96" w:rsidRPr="00D57B96" w:rsidRDefault="00D57B96" w:rsidP="00D57B96">
            <w:pPr>
              <w:spacing w:before="0" w:after="0"/>
              <w:jc w:val="left"/>
              <w:rPr>
                <w:b/>
                <w:bCs/>
              </w:rPr>
            </w:pPr>
            <w:r w:rsidRPr="00D57B96">
              <w:rPr>
                <w:b/>
                <w:bCs/>
              </w:rPr>
              <w:t>R</w:t>
            </w:r>
          </w:p>
        </w:tc>
        <w:tc>
          <w:tcPr>
            <w:tcW w:w="1890" w:type="dxa"/>
            <w:tcBorders>
              <w:top w:val="nil"/>
              <w:left w:val="nil"/>
              <w:bottom w:val="nil"/>
              <w:right w:val="single" w:sz="4" w:space="0" w:color="auto"/>
            </w:tcBorders>
            <w:shd w:val="clear" w:color="auto" w:fill="auto"/>
            <w:noWrap/>
            <w:vAlign w:val="bottom"/>
            <w:hideMark/>
          </w:tcPr>
          <w:p w14:paraId="28519A93" w14:textId="77777777" w:rsidR="00D57B96" w:rsidRPr="00D57B96" w:rsidRDefault="00D57B96" w:rsidP="00D57B96">
            <w:pPr>
              <w:spacing w:before="0" w:after="0"/>
              <w:jc w:val="left"/>
              <w:rPr>
                <w:b/>
                <w:bCs/>
              </w:rPr>
            </w:pPr>
            <w:r w:rsidRPr="00D57B96">
              <w:rPr>
                <w:b/>
                <w:bCs/>
              </w:rPr>
              <w:t>N/A</w:t>
            </w:r>
          </w:p>
        </w:tc>
      </w:tr>
      <w:tr w:rsidR="00D57B96" w:rsidRPr="00D57B96" w14:paraId="28519A98" w14:textId="77777777" w:rsidTr="00D57B96">
        <w:trPr>
          <w:trHeight w:val="312"/>
        </w:trPr>
        <w:tc>
          <w:tcPr>
            <w:tcW w:w="6102" w:type="dxa"/>
            <w:tcBorders>
              <w:top w:val="nil"/>
              <w:left w:val="single" w:sz="4" w:space="0" w:color="auto"/>
              <w:bottom w:val="nil"/>
              <w:right w:val="single" w:sz="4" w:space="0" w:color="auto"/>
            </w:tcBorders>
            <w:shd w:val="clear" w:color="auto" w:fill="auto"/>
            <w:noWrap/>
            <w:vAlign w:val="bottom"/>
            <w:hideMark/>
          </w:tcPr>
          <w:p w14:paraId="28519A95" w14:textId="77777777" w:rsidR="00D57B96" w:rsidRPr="00D57B96" w:rsidRDefault="00D57B96" w:rsidP="00D57B96">
            <w:pPr>
              <w:spacing w:before="0" w:after="0"/>
              <w:jc w:val="left"/>
              <w:rPr>
                <w:b/>
                <w:bCs/>
              </w:rPr>
            </w:pPr>
            <w:r w:rsidRPr="00D57B96">
              <w:rPr>
                <w:b/>
                <w:bCs/>
              </w:rPr>
              <w:t xml:space="preserve">3. Conduct Sub Tier Supplier </w:t>
            </w:r>
            <w:proofErr w:type="gramStart"/>
            <w:r w:rsidRPr="00D57B96">
              <w:rPr>
                <w:b/>
                <w:bCs/>
              </w:rPr>
              <w:t>On</w:t>
            </w:r>
            <w:proofErr w:type="gramEnd"/>
            <w:r w:rsidRPr="00D57B96">
              <w:rPr>
                <w:b/>
                <w:bCs/>
              </w:rPr>
              <w:t xml:space="preserve"> Site Audit(s)</w:t>
            </w:r>
          </w:p>
        </w:tc>
        <w:tc>
          <w:tcPr>
            <w:tcW w:w="1710" w:type="dxa"/>
            <w:tcBorders>
              <w:top w:val="nil"/>
              <w:left w:val="nil"/>
              <w:bottom w:val="nil"/>
              <w:right w:val="single" w:sz="4" w:space="0" w:color="auto"/>
            </w:tcBorders>
            <w:shd w:val="clear" w:color="auto" w:fill="auto"/>
            <w:noWrap/>
            <w:vAlign w:val="bottom"/>
            <w:hideMark/>
          </w:tcPr>
          <w:p w14:paraId="28519A96" w14:textId="77777777" w:rsidR="00D57B96" w:rsidRPr="00D57B96" w:rsidRDefault="00D57B96" w:rsidP="00D57B96">
            <w:pPr>
              <w:spacing w:before="0" w:after="0"/>
              <w:jc w:val="left"/>
              <w:rPr>
                <w:b/>
                <w:bCs/>
              </w:rPr>
            </w:pPr>
            <w:r w:rsidRPr="00D57B96">
              <w:rPr>
                <w:b/>
                <w:bCs/>
              </w:rPr>
              <w:t>R</w:t>
            </w:r>
          </w:p>
        </w:tc>
        <w:tc>
          <w:tcPr>
            <w:tcW w:w="1890" w:type="dxa"/>
            <w:tcBorders>
              <w:top w:val="nil"/>
              <w:left w:val="nil"/>
              <w:bottom w:val="nil"/>
              <w:right w:val="single" w:sz="4" w:space="0" w:color="auto"/>
            </w:tcBorders>
            <w:shd w:val="clear" w:color="auto" w:fill="auto"/>
            <w:noWrap/>
            <w:vAlign w:val="bottom"/>
            <w:hideMark/>
          </w:tcPr>
          <w:p w14:paraId="28519A97" w14:textId="77777777" w:rsidR="00D57B96" w:rsidRPr="00D57B96" w:rsidRDefault="00D57B96" w:rsidP="00D57B96">
            <w:pPr>
              <w:spacing w:before="0" w:after="0"/>
              <w:jc w:val="left"/>
              <w:rPr>
                <w:b/>
                <w:bCs/>
              </w:rPr>
            </w:pPr>
            <w:r w:rsidRPr="00D57B96">
              <w:rPr>
                <w:b/>
                <w:bCs/>
              </w:rPr>
              <w:t>S</w:t>
            </w:r>
          </w:p>
        </w:tc>
      </w:tr>
      <w:tr w:rsidR="00D57B96" w:rsidRPr="00D57B96" w14:paraId="28519A9C" w14:textId="77777777" w:rsidTr="00D57B96">
        <w:trPr>
          <w:trHeight w:val="312"/>
        </w:trPr>
        <w:tc>
          <w:tcPr>
            <w:tcW w:w="6102" w:type="dxa"/>
            <w:tcBorders>
              <w:top w:val="nil"/>
              <w:left w:val="single" w:sz="4" w:space="0" w:color="auto"/>
              <w:bottom w:val="nil"/>
              <w:right w:val="single" w:sz="4" w:space="0" w:color="auto"/>
            </w:tcBorders>
            <w:shd w:val="clear" w:color="auto" w:fill="auto"/>
            <w:noWrap/>
            <w:vAlign w:val="bottom"/>
            <w:hideMark/>
          </w:tcPr>
          <w:p w14:paraId="28519A99" w14:textId="77777777" w:rsidR="00D57B96" w:rsidRPr="00D57B96" w:rsidRDefault="00D57B96" w:rsidP="00D57B96">
            <w:pPr>
              <w:spacing w:before="0" w:after="0"/>
              <w:jc w:val="left"/>
              <w:rPr>
                <w:b/>
                <w:bCs/>
              </w:rPr>
            </w:pPr>
            <w:r w:rsidRPr="00D57B96">
              <w:rPr>
                <w:b/>
                <w:bCs/>
              </w:rPr>
              <w:t>4. Sub Tier Supplier APQP Tracking</w:t>
            </w:r>
          </w:p>
        </w:tc>
        <w:tc>
          <w:tcPr>
            <w:tcW w:w="1710" w:type="dxa"/>
            <w:tcBorders>
              <w:top w:val="nil"/>
              <w:left w:val="nil"/>
              <w:bottom w:val="nil"/>
              <w:right w:val="single" w:sz="4" w:space="0" w:color="auto"/>
            </w:tcBorders>
            <w:shd w:val="clear" w:color="auto" w:fill="auto"/>
            <w:noWrap/>
            <w:vAlign w:val="bottom"/>
            <w:hideMark/>
          </w:tcPr>
          <w:p w14:paraId="28519A9A" w14:textId="77777777" w:rsidR="00D57B96" w:rsidRPr="00D57B96" w:rsidRDefault="00D57B96" w:rsidP="00D57B96">
            <w:pPr>
              <w:spacing w:before="0" w:after="0"/>
              <w:jc w:val="left"/>
              <w:rPr>
                <w:b/>
                <w:bCs/>
              </w:rPr>
            </w:pPr>
            <w:r w:rsidRPr="00D57B96">
              <w:rPr>
                <w:b/>
                <w:bCs/>
              </w:rPr>
              <w:t>R</w:t>
            </w:r>
          </w:p>
        </w:tc>
        <w:tc>
          <w:tcPr>
            <w:tcW w:w="1890" w:type="dxa"/>
            <w:tcBorders>
              <w:top w:val="nil"/>
              <w:left w:val="nil"/>
              <w:bottom w:val="nil"/>
              <w:right w:val="single" w:sz="4" w:space="0" w:color="auto"/>
            </w:tcBorders>
            <w:shd w:val="clear" w:color="auto" w:fill="auto"/>
            <w:noWrap/>
            <w:vAlign w:val="bottom"/>
            <w:hideMark/>
          </w:tcPr>
          <w:p w14:paraId="28519A9B" w14:textId="77777777" w:rsidR="00D57B96" w:rsidRPr="00D57B96" w:rsidRDefault="00D57B96" w:rsidP="00D57B96">
            <w:pPr>
              <w:spacing w:before="0" w:after="0"/>
              <w:jc w:val="left"/>
              <w:rPr>
                <w:b/>
                <w:bCs/>
              </w:rPr>
            </w:pPr>
            <w:r w:rsidRPr="00D57B96">
              <w:rPr>
                <w:b/>
                <w:bCs/>
              </w:rPr>
              <w:t>N/A</w:t>
            </w:r>
          </w:p>
        </w:tc>
      </w:tr>
      <w:tr w:rsidR="00D57B96" w:rsidRPr="00D57B96" w14:paraId="28519AA0" w14:textId="77777777" w:rsidTr="00D57B96">
        <w:trPr>
          <w:trHeight w:val="312"/>
        </w:trPr>
        <w:tc>
          <w:tcPr>
            <w:tcW w:w="6102" w:type="dxa"/>
            <w:tcBorders>
              <w:top w:val="nil"/>
              <w:left w:val="single" w:sz="4" w:space="0" w:color="auto"/>
              <w:bottom w:val="nil"/>
              <w:right w:val="single" w:sz="4" w:space="0" w:color="auto"/>
            </w:tcBorders>
            <w:shd w:val="clear" w:color="auto" w:fill="auto"/>
            <w:noWrap/>
            <w:vAlign w:val="bottom"/>
            <w:hideMark/>
          </w:tcPr>
          <w:p w14:paraId="28519A9D" w14:textId="77777777" w:rsidR="00D57B96" w:rsidRPr="00D57B96" w:rsidRDefault="00D57B96" w:rsidP="00D57B96">
            <w:pPr>
              <w:spacing w:before="0" w:after="0"/>
              <w:jc w:val="left"/>
              <w:rPr>
                <w:b/>
                <w:bCs/>
              </w:rPr>
            </w:pPr>
            <w:r w:rsidRPr="00D57B96">
              <w:rPr>
                <w:b/>
                <w:bCs/>
              </w:rPr>
              <w:t>5. Provide Sub Tier Supplier Updates at Valve Reviews</w:t>
            </w:r>
          </w:p>
        </w:tc>
        <w:tc>
          <w:tcPr>
            <w:tcW w:w="1710" w:type="dxa"/>
            <w:tcBorders>
              <w:top w:val="nil"/>
              <w:left w:val="nil"/>
              <w:bottom w:val="nil"/>
              <w:right w:val="single" w:sz="4" w:space="0" w:color="auto"/>
            </w:tcBorders>
            <w:shd w:val="clear" w:color="auto" w:fill="auto"/>
            <w:noWrap/>
            <w:vAlign w:val="bottom"/>
            <w:hideMark/>
          </w:tcPr>
          <w:p w14:paraId="28519A9E" w14:textId="77777777" w:rsidR="00D57B96" w:rsidRPr="00D57B96" w:rsidRDefault="00D57B96" w:rsidP="00D57B96">
            <w:pPr>
              <w:spacing w:before="0" w:after="0"/>
              <w:jc w:val="left"/>
              <w:rPr>
                <w:b/>
                <w:bCs/>
              </w:rPr>
            </w:pPr>
            <w:r w:rsidRPr="00D57B96">
              <w:rPr>
                <w:b/>
                <w:bCs/>
              </w:rPr>
              <w:t>R</w:t>
            </w:r>
          </w:p>
        </w:tc>
        <w:tc>
          <w:tcPr>
            <w:tcW w:w="1890" w:type="dxa"/>
            <w:tcBorders>
              <w:top w:val="nil"/>
              <w:left w:val="nil"/>
              <w:bottom w:val="nil"/>
              <w:right w:val="single" w:sz="4" w:space="0" w:color="auto"/>
            </w:tcBorders>
            <w:shd w:val="clear" w:color="auto" w:fill="auto"/>
            <w:noWrap/>
            <w:vAlign w:val="bottom"/>
            <w:hideMark/>
          </w:tcPr>
          <w:p w14:paraId="28519A9F" w14:textId="77777777" w:rsidR="00D57B96" w:rsidRPr="00D57B96" w:rsidRDefault="00D57B96" w:rsidP="00D57B96">
            <w:pPr>
              <w:spacing w:before="0" w:after="0"/>
              <w:jc w:val="left"/>
              <w:rPr>
                <w:b/>
                <w:bCs/>
              </w:rPr>
            </w:pPr>
            <w:r w:rsidRPr="00D57B96">
              <w:rPr>
                <w:b/>
                <w:bCs/>
              </w:rPr>
              <w:t>N/A</w:t>
            </w:r>
          </w:p>
        </w:tc>
      </w:tr>
      <w:tr w:rsidR="00D57B96" w:rsidRPr="00D57B96" w14:paraId="28519AA4" w14:textId="77777777" w:rsidTr="00D57B96">
        <w:trPr>
          <w:trHeight w:val="312"/>
        </w:trPr>
        <w:tc>
          <w:tcPr>
            <w:tcW w:w="6102" w:type="dxa"/>
            <w:tcBorders>
              <w:top w:val="nil"/>
              <w:left w:val="single" w:sz="4" w:space="0" w:color="auto"/>
              <w:bottom w:val="nil"/>
              <w:right w:val="single" w:sz="4" w:space="0" w:color="auto"/>
            </w:tcBorders>
            <w:shd w:val="clear" w:color="auto" w:fill="auto"/>
            <w:noWrap/>
            <w:vAlign w:val="bottom"/>
            <w:hideMark/>
          </w:tcPr>
          <w:p w14:paraId="28519AA1" w14:textId="77777777" w:rsidR="00D57B96" w:rsidRPr="00D57B96" w:rsidRDefault="00D57B96" w:rsidP="00D57B96">
            <w:pPr>
              <w:spacing w:before="0" w:after="0"/>
              <w:jc w:val="left"/>
              <w:rPr>
                <w:b/>
                <w:bCs/>
              </w:rPr>
            </w:pPr>
            <w:r w:rsidRPr="00D57B96">
              <w:rPr>
                <w:b/>
                <w:bCs/>
              </w:rPr>
              <w:t>6. Verify Capacity of Sub Tier Supplier</w:t>
            </w:r>
          </w:p>
        </w:tc>
        <w:tc>
          <w:tcPr>
            <w:tcW w:w="1710" w:type="dxa"/>
            <w:tcBorders>
              <w:top w:val="nil"/>
              <w:left w:val="nil"/>
              <w:bottom w:val="nil"/>
              <w:right w:val="single" w:sz="4" w:space="0" w:color="auto"/>
            </w:tcBorders>
            <w:shd w:val="clear" w:color="auto" w:fill="auto"/>
            <w:noWrap/>
            <w:vAlign w:val="bottom"/>
            <w:hideMark/>
          </w:tcPr>
          <w:p w14:paraId="28519AA2" w14:textId="77777777" w:rsidR="00D57B96" w:rsidRPr="00D57B96" w:rsidRDefault="00D57B96" w:rsidP="00D57B96">
            <w:pPr>
              <w:spacing w:before="0" w:after="0"/>
              <w:jc w:val="left"/>
              <w:rPr>
                <w:b/>
                <w:bCs/>
              </w:rPr>
            </w:pPr>
            <w:r w:rsidRPr="00D57B96">
              <w:rPr>
                <w:b/>
                <w:bCs/>
              </w:rPr>
              <w:t>R</w:t>
            </w:r>
          </w:p>
        </w:tc>
        <w:tc>
          <w:tcPr>
            <w:tcW w:w="1890" w:type="dxa"/>
            <w:tcBorders>
              <w:top w:val="nil"/>
              <w:left w:val="nil"/>
              <w:bottom w:val="nil"/>
              <w:right w:val="single" w:sz="4" w:space="0" w:color="auto"/>
            </w:tcBorders>
            <w:shd w:val="clear" w:color="auto" w:fill="auto"/>
            <w:noWrap/>
            <w:vAlign w:val="bottom"/>
            <w:hideMark/>
          </w:tcPr>
          <w:p w14:paraId="28519AA3" w14:textId="77777777" w:rsidR="00D57B96" w:rsidRPr="00D57B96" w:rsidRDefault="00D57B96" w:rsidP="00D57B96">
            <w:pPr>
              <w:spacing w:before="0" w:after="0"/>
              <w:jc w:val="left"/>
              <w:rPr>
                <w:b/>
                <w:bCs/>
              </w:rPr>
            </w:pPr>
            <w:r w:rsidRPr="00D57B96">
              <w:rPr>
                <w:b/>
                <w:bCs/>
              </w:rPr>
              <w:t>N/A</w:t>
            </w:r>
          </w:p>
        </w:tc>
      </w:tr>
      <w:tr w:rsidR="00D57B96" w:rsidRPr="00D57B96" w14:paraId="28519AA8" w14:textId="77777777" w:rsidTr="00D57B96">
        <w:trPr>
          <w:trHeight w:val="312"/>
        </w:trPr>
        <w:tc>
          <w:tcPr>
            <w:tcW w:w="6102" w:type="dxa"/>
            <w:tcBorders>
              <w:top w:val="nil"/>
              <w:left w:val="single" w:sz="4" w:space="0" w:color="auto"/>
              <w:bottom w:val="nil"/>
              <w:right w:val="single" w:sz="4" w:space="0" w:color="auto"/>
            </w:tcBorders>
            <w:shd w:val="clear" w:color="auto" w:fill="auto"/>
            <w:noWrap/>
            <w:vAlign w:val="bottom"/>
            <w:hideMark/>
          </w:tcPr>
          <w:p w14:paraId="28519AA5" w14:textId="77777777" w:rsidR="00D57B96" w:rsidRPr="00D57B96" w:rsidRDefault="00D57B96" w:rsidP="00D57B96">
            <w:pPr>
              <w:spacing w:before="0" w:after="0"/>
              <w:jc w:val="left"/>
              <w:rPr>
                <w:b/>
                <w:bCs/>
              </w:rPr>
            </w:pPr>
            <w:r w:rsidRPr="00D57B96">
              <w:rPr>
                <w:b/>
                <w:bCs/>
              </w:rPr>
              <w:t xml:space="preserve">7. Approve PPQP and PPAP documentation from Sub Suppliers (except for specific directed </w:t>
            </w:r>
            <w:proofErr w:type="spellStart"/>
            <w:r w:rsidRPr="00D57B96">
              <w:rPr>
                <w:b/>
                <w:bCs/>
              </w:rPr>
              <w:t>buy</w:t>
            </w:r>
            <w:proofErr w:type="spellEnd"/>
            <w:r w:rsidRPr="00D57B96">
              <w:rPr>
                <w:b/>
                <w:bCs/>
              </w:rPr>
              <w:t xml:space="preserve"> contracts)</w:t>
            </w:r>
          </w:p>
        </w:tc>
        <w:tc>
          <w:tcPr>
            <w:tcW w:w="1710" w:type="dxa"/>
            <w:tcBorders>
              <w:top w:val="nil"/>
              <w:left w:val="nil"/>
              <w:bottom w:val="nil"/>
              <w:right w:val="single" w:sz="4" w:space="0" w:color="auto"/>
            </w:tcBorders>
            <w:shd w:val="clear" w:color="auto" w:fill="auto"/>
            <w:noWrap/>
            <w:vAlign w:val="bottom"/>
            <w:hideMark/>
          </w:tcPr>
          <w:p w14:paraId="28519AA6" w14:textId="77777777" w:rsidR="00D57B96" w:rsidRPr="00D57B96" w:rsidRDefault="00D57B96" w:rsidP="00D57B96">
            <w:pPr>
              <w:spacing w:before="0" w:after="0"/>
              <w:jc w:val="left"/>
              <w:rPr>
                <w:b/>
                <w:bCs/>
              </w:rPr>
            </w:pPr>
            <w:r w:rsidRPr="00D57B96">
              <w:rPr>
                <w:b/>
                <w:bCs/>
              </w:rPr>
              <w:t>R</w:t>
            </w:r>
          </w:p>
        </w:tc>
        <w:tc>
          <w:tcPr>
            <w:tcW w:w="1890" w:type="dxa"/>
            <w:tcBorders>
              <w:top w:val="nil"/>
              <w:left w:val="nil"/>
              <w:bottom w:val="nil"/>
              <w:right w:val="single" w:sz="4" w:space="0" w:color="auto"/>
            </w:tcBorders>
            <w:shd w:val="clear" w:color="auto" w:fill="auto"/>
            <w:noWrap/>
            <w:vAlign w:val="bottom"/>
            <w:hideMark/>
          </w:tcPr>
          <w:p w14:paraId="28519AA7" w14:textId="77777777" w:rsidR="00D57B96" w:rsidRPr="00D57B96" w:rsidRDefault="00D57B96" w:rsidP="00D57B96">
            <w:pPr>
              <w:spacing w:before="0" w:after="0"/>
              <w:jc w:val="left"/>
              <w:rPr>
                <w:b/>
                <w:bCs/>
              </w:rPr>
            </w:pPr>
            <w:r w:rsidRPr="00D57B96">
              <w:rPr>
                <w:b/>
                <w:bCs/>
              </w:rPr>
              <w:t>N/A</w:t>
            </w:r>
          </w:p>
        </w:tc>
      </w:tr>
      <w:tr w:rsidR="00D57B96" w:rsidRPr="00D57B96" w14:paraId="28519AAC" w14:textId="77777777" w:rsidTr="00D57B96">
        <w:trPr>
          <w:trHeight w:val="312"/>
        </w:trPr>
        <w:tc>
          <w:tcPr>
            <w:tcW w:w="6102" w:type="dxa"/>
            <w:tcBorders>
              <w:top w:val="nil"/>
              <w:left w:val="single" w:sz="4" w:space="0" w:color="auto"/>
              <w:bottom w:val="nil"/>
              <w:right w:val="nil"/>
            </w:tcBorders>
            <w:shd w:val="clear" w:color="auto" w:fill="auto"/>
            <w:noWrap/>
            <w:vAlign w:val="bottom"/>
            <w:hideMark/>
          </w:tcPr>
          <w:p w14:paraId="28519AA9" w14:textId="77777777" w:rsidR="00D57B96" w:rsidRPr="00D57B96" w:rsidRDefault="00D57B96" w:rsidP="00D57B96">
            <w:pPr>
              <w:spacing w:before="0" w:after="0"/>
              <w:jc w:val="left"/>
              <w:rPr>
                <w:b/>
                <w:bCs/>
              </w:rPr>
            </w:pPr>
            <w:r w:rsidRPr="00D57B96">
              <w:rPr>
                <w:b/>
                <w:bCs/>
              </w:rPr>
              <w:t>8. Introduce Sub Tier Supplier Change Requests to GM</w:t>
            </w:r>
          </w:p>
        </w:tc>
        <w:tc>
          <w:tcPr>
            <w:tcW w:w="1710" w:type="dxa"/>
            <w:tcBorders>
              <w:top w:val="nil"/>
              <w:left w:val="single" w:sz="4" w:space="0" w:color="auto"/>
              <w:bottom w:val="nil"/>
              <w:right w:val="single" w:sz="4" w:space="0" w:color="auto"/>
            </w:tcBorders>
            <w:shd w:val="clear" w:color="auto" w:fill="auto"/>
            <w:noWrap/>
            <w:vAlign w:val="bottom"/>
            <w:hideMark/>
          </w:tcPr>
          <w:p w14:paraId="28519AAA" w14:textId="77777777" w:rsidR="00D57B96" w:rsidRPr="00D57B96" w:rsidRDefault="00D57B96" w:rsidP="00D57B96">
            <w:pPr>
              <w:spacing w:before="0" w:after="0"/>
              <w:jc w:val="left"/>
              <w:rPr>
                <w:b/>
                <w:bCs/>
              </w:rPr>
            </w:pPr>
            <w:r w:rsidRPr="00D57B96">
              <w:rPr>
                <w:b/>
                <w:bCs/>
              </w:rPr>
              <w:t>R</w:t>
            </w:r>
          </w:p>
        </w:tc>
        <w:tc>
          <w:tcPr>
            <w:tcW w:w="1890" w:type="dxa"/>
            <w:tcBorders>
              <w:top w:val="nil"/>
              <w:left w:val="nil"/>
              <w:bottom w:val="nil"/>
              <w:right w:val="single" w:sz="4" w:space="0" w:color="auto"/>
            </w:tcBorders>
            <w:shd w:val="clear" w:color="auto" w:fill="auto"/>
            <w:noWrap/>
            <w:vAlign w:val="bottom"/>
            <w:hideMark/>
          </w:tcPr>
          <w:p w14:paraId="28519AAB" w14:textId="77777777" w:rsidR="00D57B96" w:rsidRPr="00D57B96" w:rsidRDefault="00D57B96" w:rsidP="00D57B96">
            <w:pPr>
              <w:spacing w:before="0" w:after="0"/>
              <w:jc w:val="left"/>
              <w:rPr>
                <w:b/>
                <w:bCs/>
              </w:rPr>
            </w:pPr>
            <w:r w:rsidRPr="00D57B96">
              <w:rPr>
                <w:b/>
                <w:bCs/>
              </w:rPr>
              <w:t>N/A</w:t>
            </w:r>
          </w:p>
        </w:tc>
      </w:tr>
      <w:tr w:rsidR="00D57B96" w:rsidRPr="00D57B96" w14:paraId="28519AB0" w14:textId="77777777" w:rsidTr="00D57B96">
        <w:trPr>
          <w:trHeight w:val="312"/>
        </w:trPr>
        <w:tc>
          <w:tcPr>
            <w:tcW w:w="6102" w:type="dxa"/>
            <w:tcBorders>
              <w:top w:val="nil"/>
              <w:left w:val="single" w:sz="4" w:space="0" w:color="auto"/>
              <w:bottom w:val="single" w:sz="4" w:space="0" w:color="auto"/>
              <w:right w:val="nil"/>
            </w:tcBorders>
            <w:shd w:val="clear" w:color="auto" w:fill="auto"/>
            <w:noWrap/>
            <w:vAlign w:val="bottom"/>
            <w:hideMark/>
          </w:tcPr>
          <w:p w14:paraId="28519AAD" w14:textId="5400EE7D" w:rsidR="00D57B96" w:rsidRPr="00D57B96" w:rsidRDefault="00D57B96" w:rsidP="00D57B96">
            <w:pPr>
              <w:spacing w:before="0" w:after="0"/>
              <w:jc w:val="left"/>
              <w:rPr>
                <w:b/>
                <w:bCs/>
              </w:rPr>
            </w:pPr>
            <w:r w:rsidRPr="00D57B96">
              <w:rPr>
                <w:b/>
                <w:bCs/>
              </w:rPr>
              <w:t>9. Approve Sub Tier Supplier G</w:t>
            </w:r>
            <w:r w:rsidR="00F13C0B">
              <w:rPr>
                <w:b/>
                <w:bCs/>
              </w:rPr>
              <w:t>M1927 28</w:t>
            </w:r>
            <w:r w:rsidRPr="00D57B96">
              <w:rPr>
                <w:b/>
                <w:bCs/>
              </w:rPr>
              <w:t xml:space="preserve"> Containment Plan</w:t>
            </w:r>
          </w:p>
        </w:tc>
        <w:tc>
          <w:tcPr>
            <w:tcW w:w="1710" w:type="dxa"/>
            <w:tcBorders>
              <w:top w:val="nil"/>
              <w:left w:val="single" w:sz="4" w:space="0" w:color="auto"/>
              <w:bottom w:val="single" w:sz="4" w:space="0" w:color="auto"/>
              <w:right w:val="single" w:sz="4" w:space="0" w:color="auto"/>
            </w:tcBorders>
            <w:shd w:val="clear" w:color="auto" w:fill="auto"/>
            <w:noWrap/>
            <w:vAlign w:val="bottom"/>
            <w:hideMark/>
          </w:tcPr>
          <w:p w14:paraId="28519AAE" w14:textId="77777777" w:rsidR="00D57B96" w:rsidRPr="00D57B96" w:rsidRDefault="00D57B96" w:rsidP="00D57B96">
            <w:pPr>
              <w:spacing w:before="0" w:after="0"/>
              <w:jc w:val="left"/>
              <w:rPr>
                <w:b/>
                <w:bCs/>
              </w:rPr>
            </w:pPr>
            <w:r w:rsidRPr="00D57B96">
              <w:rPr>
                <w:b/>
                <w:bCs/>
              </w:rPr>
              <w:t>R</w:t>
            </w:r>
          </w:p>
        </w:tc>
        <w:tc>
          <w:tcPr>
            <w:tcW w:w="1890" w:type="dxa"/>
            <w:tcBorders>
              <w:top w:val="nil"/>
              <w:left w:val="nil"/>
              <w:bottom w:val="single" w:sz="4" w:space="0" w:color="auto"/>
              <w:right w:val="single" w:sz="4" w:space="0" w:color="auto"/>
            </w:tcBorders>
            <w:shd w:val="clear" w:color="auto" w:fill="auto"/>
            <w:noWrap/>
            <w:vAlign w:val="bottom"/>
            <w:hideMark/>
          </w:tcPr>
          <w:p w14:paraId="28519AAF" w14:textId="77777777" w:rsidR="00D57B96" w:rsidRPr="00D57B96" w:rsidRDefault="00D57B96" w:rsidP="00D57B96">
            <w:pPr>
              <w:spacing w:before="0" w:after="0"/>
              <w:jc w:val="left"/>
              <w:rPr>
                <w:b/>
                <w:bCs/>
              </w:rPr>
            </w:pPr>
            <w:r w:rsidRPr="00D57B96">
              <w:rPr>
                <w:b/>
                <w:bCs/>
              </w:rPr>
              <w:t>N/A</w:t>
            </w:r>
          </w:p>
        </w:tc>
      </w:tr>
      <w:tr w:rsidR="00D57B96" w:rsidRPr="00D57B96" w14:paraId="28519AB4" w14:textId="77777777" w:rsidTr="00D57B96">
        <w:trPr>
          <w:trHeight w:val="312"/>
        </w:trPr>
        <w:tc>
          <w:tcPr>
            <w:tcW w:w="6102" w:type="dxa"/>
            <w:tcBorders>
              <w:top w:val="nil"/>
              <w:left w:val="nil"/>
              <w:bottom w:val="nil"/>
              <w:right w:val="nil"/>
            </w:tcBorders>
            <w:shd w:val="clear" w:color="auto" w:fill="auto"/>
            <w:noWrap/>
            <w:vAlign w:val="bottom"/>
            <w:hideMark/>
          </w:tcPr>
          <w:p w14:paraId="28519AB1" w14:textId="77777777" w:rsidR="00D57B96" w:rsidRPr="00D57B96" w:rsidRDefault="00D57B96" w:rsidP="00D57B96">
            <w:pPr>
              <w:spacing w:before="0" w:after="0"/>
              <w:jc w:val="left"/>
              <w:rPr>
                <w:b/>
                <w:bCs/>
              </w:rPr>
            </w:pPr>
          </w:p>
        </w:tc>
        <w:tc>
          <w:tcPr>
            <w:tcW w:w="1710" w:type="dxa"/>
            <w:tcBorders>
              <w:top w:val="nil"/>
              <w:left w:val="nil"/>
              <w:bottom w:val="nil"/>
              <w:right w:val="nil"/>
            </w:tcBorders>
            <w:shd w:val="clear" w:color="auto" w:fill="auto"/>
            <w:noWrap/>
            <w:vAlign w:val="bottom"/>
            <w:hideMark/>
          </w:tcPr>
          <w:p w14:paraId="28519AB2" w14:textId="77777777" w:rsidR="00D57B96" w:rsidRPr="00D57B96" w:rsidRDefault="00D57B96" w:rsidP="00D57B96">
            <w:pPr>
              <w:spacing w:before="0" w:after="0"/>
              <w:jc w:val="left"/>
            </w:pPr>
          </w:p>
        </w:tc>
        <w:tc>
          <w:tcPr>
            <w:tcW w:w="1890" w:type="dxa"/>
            <w:tcBorders>
              <w:top w:val="nil"/>
              <w:left w:val="nil"/>
              <w:bottom w:val="nil"/>
              <w:right w:val="nil"/>
            </w:tcBorders>
            <w:shd w:val="clear" w:color="auto" w:fill="auto"/>
            <w:noWrap/>
            <w:vAlign w:val="bottom"/>
            <w:hideMark/>
          </w:tcPr>
          <w:p w14:paraId="28519AB3" w14:textId="77777777" w:rsidR="00D57B96" w:rsidRPr="00D57B96" w:rsidRDefault="00D57B96" w:rsidP="00D57B96">
            <w:pPr>
              <w:spacing w:before="0" w:after="0"/>
              <w:jc w:val="left"/>
            </w:pPr>
          </w:p>
        </w:tc>
      </w:tr>
      <w:tr w:rsidR="00D57B96" w:rsidRPr="00D57B96" w14:paraId="28519AB8" w14:textId="77777777" w:rsidTr="00D57B96">
        <w:trPr>
          <w:trHeight w:val="312"/>
        </w:trPr>
        <w:tc>
          <w:tcPr>
            <w:tcW w:w="6102" w:type="dxa"/>
            <w:tcBorders>
              <w:top w:val="nil"/>
              <w:left w:val="nil"/>
              <w:bottom w:val="nil"/>
              <w:right w:val="nil"/>
            </w:tcBorders>
            <w:shd w:val="clear" w:color="auto" w:fill="auto"/>
            <w:noWrap/>
            <w:vAlign w:val="bottom"/>
            <w:hideMark/>
          </w:tcPr>
          <w:p w14:paraId="28519AB5" w14:textId="77777777" w:rsidR="00D57B96" w:rsidRPr="00D57B96" w:rsidRDefault="00D57B96" w:rsidP="00D57B96">
            <w:pPr>
              <w:spacing w:before="0" w:after="0"/>
              <w:jc w:val="left"/>
            </w:pPr>
          </w:p>
        </w:tc>
        <w:tc>
          <w:tcPr>
            <w:tcW w:w="1710" w:type="dxa"/>
            <w:tcBorders>
              <w:top w:val="nil"/>
              <w:left w:val="nil"/>
              <w:bottom w:val="nil"/>
              <w:right w:val="nil"/>
            </w:tcBorders>
            <w:shd w:val="clear" w:color="auto" w:fill="auto"/>
            <w:noWrap/>
            <w:vAlign w:val="bottom"/>
            <w:hideMark/>
          </w:tcPr>
          <w:p w14:paraId="28519AB6" w14:textId="77777777" w:rsidR="00D57B96" w:rsidRPr="00D57B96" w:rsidRDefault="00D57B96" w:rsidP="00D57B96">
            <w:pPr>
              <w:spacing w:before="0" w:after="0"/>
              <w:jc w:val="left"/>
            </w:pPr>
          </w:p>
        </w:tc>
        <w:tc>
          <w:tcPr>
            <w:tcW w:w="1890" w:type="dxa"/>
            <w:tcBorders>
              <w:top w:val="nil"/>
              <w:left w:val="nil"/>
              <w:bottom w:val="nil"/>
              <w:right w:val="nil"/>
            </w:tcBorders>
            <w:shd w:val="clear" w:color="auto" w:fill="auto"/>
            <w:noWrap/>
            <w:vAlign w:val="bottom"/>
            <w:hideMark/>
          </w:tcPr>
          <w:p w14:paraId="28519AB7" w14:textId="77777777" w:rsidR="00D57B96" w:rsidRPr="00D57B96" w:rsidRDefault="00D57B96" w:rsidP="00D57B96">
            <w:pPr>
              <w:spacing w:before="0" w:after="0"/>
              <w:jc w:val="left"/>
            </w:pPr>
          </w:p>
        </w:tc>
      </w:tr>
      <w:tr w:rsidR="00D57B96" w:rsidRPr="00D57B96" w14:paraId="28519ABB" w14:textId="77777777" w:rsidTr="00D57B96">
        <w:trPr>
          <w:trHeight w:val="312"/>
        </w:trPr>
        <w:tc>
          <w:tcPr>
            <w:tcW w:w="6102" w:type="dxa"/>
            <w:tcBorders>
              <w:top w:val="nil"/>
              <w:left w:val="nil"/>
              <w:bottom w:val="nil"/>
              <w:right w:val="nil"/>
            </w:tcBorders>
            <w:shd w:val="clear" w:color="auto" w:fill="auto"/>
            <w:noWrap/>
            <w:vAlign w:val="bottom"/>
            <w:hideMark/>
          </w:tcPr>
          <w:p w14:paraId="28519AB9" w14:textId="77777777" w:rsidR="00D57B96" w:rsidRPr="00D57B96" w:rsidRDefault="00D57B96" w:rsidP="00D57B96">
            <w:pPr>
              <w:spacing w:before="0" w:after="0"/>
              <w:jc w:val="left"/>
            </w:pPr>
          </w:p>
        </w:tc>
        <w:tc>
          <w:tcPr>
            <w:tcW w:w="3600" w:type="dxa"/>
            <w:gridSpan w:val="2"/>
            <w:tcBorders>
              <w:top w:val="nil"/>
              <w:left w:val="nil"/>
              <w:bottom w:val="nil"/>
              <w:right w:val="nil"/>
            </w:tcBorders>
            <w:shd w:val="clear" w:color="auto" w:fill="auto"/>
            <w:noWrap/>
            <w:vAlign w:val="bottom"/>
            <w:hideMark/>
          </w:tcPr>
          <w:p w14:paraId="28519ABA" w14:textId="77777777" w:rsidR="00D57B96" w:rsidRPr="00D57B96" w:rsidRDefault="00D57B96" w:rsidP="00D57B96">
            <w:pPr>
              <w:spacing w:before="0" w:after="0"/>
              <w:jc w:val="left"/>
              <w:rPr>
                <w:b/>
                <w:bCs/>
              </w:rPr>
            </w:pPr>
            <w:r w:rsidRPr="00D57B96">
              <w:rPr>
                <w:b/>
                <w:bCs/>
              </w:rPr>
              <w:t>R is Responsible</w:t>
            </w:r>
          </w:p>
        </w:tc>
      </w:tr>
      <w:tr w:rsidR="00D57B96" w:rsidRPr="00D57B96" w14:paraId="28519ABE" w14:textId="77777777" w:rsidTr="00D57B96">
        <w:trPr>
          <w:trHeight w:val="312"/>
        </w:trPr>
        <w:tc>
          <w:tcPr>
            <w:tcW w:w="6102" w:type="dxa"/>
            <w:tcBorders>
              <w:top w:val="nil"/>
              <w:left w:val="nil"/>
              <w:bottom w:val="nil"/>
              <w:right w:val="nil"/>
            </w:tcBorders>
            <w:shd w:val="clear" w:color="auto" w:fill="auto"/>
            <w:noWrap/>
            <w:vAlign w:val="bottom"/>
            <w:hideMark/>
          </w:tcPr>
          <w:p w14:paraId="28519ABC" w14:textId="77777777" w:rsidR="00D57B96" w:rsidRPr="00D57B96" w:rsidRDefault="00D57B96" w:rsidP="00D57B96">
            <w:pPr>
              <w:spacing w:before="0" w:after="0"/>
              <w:jc w:val="left"/>
              <w:rPr>
                <w:b/>
                <w:bCs/>
              </w:rPr>
            </w:pPr>
          </w:p>
        </w:tc>
        <w:tc>
          <w:tcPr>
            <w:tcW w:w="3600" w:type="dxa"/>
            <w:gridSpan w:val="2"/>
            <w:tcBorders>
              <w:top w:val="nil"/>
              <w:left w:val="nil"/>
              <w:bottom w:val="nil"/>
              <w:right w:val="nil"/>
            </w:tcBorders>
            <w:shd w:val="clear" w:color="auto" w:fill="auto"/>
            <w:noWrap/>
            <w:vAlign w:val="bottom"/>
            <w:hideMark/>
          </w:tcPr>
          <w:p w14:paraId="28519ABD" w14:textId="77777777" w:rsidR="00D57B96" w:rsidRPr="00D57B96" w:rsidRDefault="00D57B96" w:rsidP="00D57B96">
            <w:pPr>
              <w:spacing w:before="0" w:after="0"/>
              <w:jc w:val="left"/>
              <w:rPr>
                <w:b/>
                <w:bCs/>
              </w:rPr>
            </w:pPr>
            <w:r w:rsidRPr="00D57B96">
              <w:rPr>
                <w:b/>
                <w:bCs/>
              </w:rPr>
              <w:t>S is Support</w:t>
            </w:r>
          </w:p>
        </w:tc>
      </w:tr>
      <w:tr w:rsidR="00D57B96" w:rsidRPr="00D57B96" w14:paraId="28519AC2" w14:textId="77777777" w:rsidTr="00D57B96">
        <w:trPr>
          <w:trHeight w:val="288"/>
        </w:trPr>
        <w:tc>
          <w:tcPr>
            <w:tcW w:w="6102" w:type="dxa"/>
            <w:tcBorders>
              <w:top w:val="nil"/>
              <w:left w:val="nil"/>
              <w:bottom w:val="nil"/>
              <w:right w:val="nil"/>
            </w:tcBorders>
            <w:shd w:val="clear" w:color="auto" w:fill="auto"/>
            <w:noWrap/>
            <w:vAlign w:val="bottom"/>
            <w:hideMark/>
          </w:tcPr>
          <w:p w14:paraId="28519ABF" w14:textId="77777777" w:rsidR="00D57B96" w:rsidRPr="00D57B96" w:rsidRDefault="00D57B96" w:rsidP="00D57B96">
            <w:pPr>
              <w:spacing w:before="0" w:after="0"/>
              <w:jc w:val="left"/>
              <w:rPr>
                <w:b/>
                <w:bCs/>
              </w:rPr>
            </w:pPr>
          </w:p>
        </w:tc>
        <w:tc>
          <w:tcPr>
            <w:tcW w:w="1710" w:type="dxa"/>
            <w:tcBorders>
              <w:top w:val="nil"/>
              <w:left w:val="nil"/>
              <w:bottom w:val="nil"/>
              <w:right w:val="nil"/>
            </w:tcBorders>
            <w:shd w:val="clear" w:color="auto" w:fill="auto"/>
            <w:noWrap/>
            <w:vAlign w:val="bottom"/>
            <w:hideMark/>
          </w:tcPr>
          <w:p w14:paraId="28519AC0" w14:textId="77777777" w:rsidR="00D57B96" w:rsidRPr="00D57B96" w:rsidRDefault="00D57B96" w:rsidP="00D57B96">
            <w:pPr>
              <w:spacing w:before="0" w:after="0"/>
              <w:jc w:val="left"/>
              <w:rPr>
                <w:b/>
                <w:bCs/>
              </w:rPr>
            </w:pPr>
            <w:r w:rsidRPr="00D57B96">
              <w:rPr>
                <w:b/>
                <w:bCs/>
              </w:rPr>
              <w:t xml:space="preserve">N/A is </w:t>
            </w:r>
            <w:proofErr w:type="gramStart"/>
            <w:r w:rsidRPr="00D57B96">
              <w:rPr>
                <w:b/>
                <w:bCs/>
              </w:rPr>
              <w:t>Non Applicable</w:t>
            </w:r>
            <w:proofErr w:type="gramEnd"/>
          </w:p>
        </w:tc>
        <w:tc>
          <w:tcPr>
            <w:tcW w:w="1890" w:type="dxa"/>
            <w:tcBorders>
              <w:top w:val="nil"/>
              <w:left w:val="nil"/>
              <w:bottom w:val="nil"/>
              <w:right w:val="nil"/>
            </w:tcBorders>
            <w:shd w:val="clear" w:color="auto" w:fill="auto"/>
            <w:noWrap/>
            <w:vAlign w:val="bottom"/>
            <w:hideMark/>
          </w:tcPr>
          <w:p w14:paraId="28519AC1" w14:textId="77777777" w:rsidR="00D57B96" w:rsidRPr="00D57B96" w:rsidRDefault="00D57B96" w:rsidP="00D57B96">
            <w:pPr>
              <w:spacing w:before="0" w:after="0"/>
              <w:jc w:val="left"/>
              <w:rPr>
                <w:b/>
                <w:bCs/>
              </w:rPr>
            </w:pPr>
          </w:p>
        </w:tc>
      </w:tr>
    </w:tbl>
    <w:p w14:paraId="28519AC3" w14:textId="77777777" w:rsidR="00EF3187" w:rsidRPr="00A7585C" w:rsidRDefault="00EF3187" w:rsidP="00D57B96">
      <w:pPr>
        <w:spacing w:before="0" w:after="0"/>
        <w:jc w:val="left"/>
      </w:pPr>
      <w:r w:rsidRPr="00A7585C">
        <w:br w:type="page"/>
      </w:r>
    </w:p>
    <w:p w14:paraId="28519AC4" w14:textId="77777777" w:rsidR="00AC7E3C" w:rsidRPr="00A7585C" w:rsidRDefault="00AC7E3C" w:rsidP="00AC7E3C">
      <w:pPr>
        <w:rPr>
          <w:rFonts w:eastAsia="Arial" w:cs="Arial"/>
          <w:b/>
          <w:sz w:val="24"/>
          <w:szCs w:val="24"/>
        </w:rPr>
      </w:pPr>
      <w:r w:rsidRPr="00A7585C">
        <w:rPr>
          <w:rFonts w:eastAsia="Arial" w:cs="Arial"/>
          <w:b/>
          <w:sz w:val="24"/>
          <w:szCs w:val="24"/>
        </w:rPr>
        <w:lastRenderedPageBreak/>
        <w:t xml:space="preserve">Appendix </w:t>
      </w:r>
      <w:r w:rsidR="00524804" w:rsidRPr="00A7585C">
        <w:rPr>
          <w:rFonts w:eastAsia="Arial" w:cs="Arial"/>
          <w:b/>
          <w:sz w:val="24"/>
          <w:szCs w:val="24"/>
        </w:rPr>
        <w:t>A</w:t>
      </w:r>
      <w:r w:rsidRPr="00A7585C">
        <w:rPr>
          <w:rFonts w:eastAsia="Arial" w:cs="Arial"/>
          <w:b/>
          <w:sz w:val="24"/>
          <w:szCs w:val="24"/>
        </w:rPr>
        <w:t xml:space="preserve"> – Revision History</w:t>
      </w:r>
    </w:p>
    <w:p w14:paraId="28519AC5" w14:textId="77777777" w:rsidR="008B0280" w:rsidRPr="00A7585C" w:rsidRDefault="008B0280" w:rsidP="00AC7E3C">
      <w:pPr>
        <w:rPr>
          <w:rFonts w:eastAsia="Arial" w:cs="Arial"/>
          <w:b/>
          <w:sz w:val="24"/>
          <w:szCs w:val="24"/>
        </w:rPr>
      </w:pPr>
    </w:p>
    <w:tbl>
      <w:tblPr>
        <w:tblStyle w:val="TableGrid"/>
        <w:tblW w:w="0" w:type="auto"/>
        <w:tblLayout w:type="fixed"/>
        <w:tblLook w:val="04A0" w:firstRow="1" w:lastRow="0" w:firstColumn="1" w:lastColumn="0" w:noHBand="0" w:noVBand="1"/>
      </w:tblPr>
      <w:tblGrid>
        <w:gridCol w:w="1345"/>
        <w:gridCol w:w="1710"/>
        <w:gridCol w:w="2824"/>
        <w:gridCol w:w="1766"/>
        <w:gridCol w:w="2152"/>
      </w:tblGrid>
      <w:tr w:rsidR="00A7585C" w:rsidRPr="00A7585C" w14:paraId="28519AC7" w14:textId="77777777" w:rsidTr="00016707">
        <w:trPr>
          <w:trHeight w:val="458"/>
        </w:trPr>
        <w:tc>
          <w:tcPr>
            <w:tcW w:w="9797" w:type="dxa"/>
            <w:gridSpan w:val="5"/>
          </w:tcPr>
          <w:p w14:paraId="28519AC6" w14:textId="77777777" w:rsidR="008B0280" w:rsidRPr="00A7585C" w:rsidRDefault="008B0280" w:rsidP="008D0670">
            <w:pPr>
              <w:jc w:val="center"/>
            </w:pPr>
            <w:r w:rsidRPr="00A7585C">
              <w:rPr>
                <w:rFonts w:cs="Arial"/>
                <w:b/>
                <w:bCs/>
              </w:rPr>
              <w:t>GDM Change History</w:t>
            </w:r>
          </w:p>
        </w:tc>
      </w:tr>
      <w:tr w:rsidR="00A7585C" w:rsidRPr="00A7585C" w14:paraId="28519ACD" w14:textId="77777777" w:rsidTr="00016707">
        <w:tc>
          <w:tcPr>
            <w:tcW w:w="1345" w:type="dxa"/>
            <w:shd w:val="clear" w:color="auto" w:fill="DDD9C3" w:themeFill="background2" w:themeFillShade="E6"/>
          </w:tcPr>
          <w:p w14:paraId="28519AC8" w14:textId="77777777" w:rsidR="008B0280" w:rsidRPr="00A7585C" w:rsidRDefault="008B0280" w:rsidP="008D0670">
            <w:pPr>
              <w:jc w:val="center"/>
              <w:rPr>
                <w:rFonts w:cs="Arial"/>
                <w:b/>
                <w:bCs/>
              </w:rPr>
            </w:pPr>
            <w:r w:rsidRPr="00A7585C">
              <w:rPr>
                <w:rFonts w:cs="Arial"/>
                <w:b/>
                <w:bCs/>
              </w:rPr>
              <w:t>Date</w:t>
            </w:r>
          </w:p>
        </w:tc>
        <w:tc>
          <w:tcPr>
            <w:tcW w:w="1710" w:type="dxa"/>
            <w:shd w:val="clear" w:color="auto" w:fill="DDD9C3" w:themeFill="background2" w:themeFillShade="E6"/>
          </w:tcPr>
          <w:p w14:paraId="28519AC9" w14:textId="77777777" w:rsidR="008B0280" w:rsidRPr="00A7585C" w:rsidRDefault="008B0280" w:rsidP="008D0670">
            <w:pPr>
              <w:jc w:val="center"/>
              <w:rPr>
                <w:rFonts w:cs="Arial"/>
                <w:b/>
                <w:bCs/>
              </w:rPr>
            </w:pPr>
            <w:r w:rsidRPr="00A7585C">
              <w:rPr>
                <w:rFonts w:cs="Arial"/>
                <w:b/>
                <w:bCs/>
              </w:rPr>
              <w:t>Version</w:t>
            </w:r>
          </w:p>
        </w:tc>
        <w:tc>
          <w:tcPr>
            <w:tcW w:w="2824" w:type="dxa"/>
            <w:shd w:val="clear" w:color="auto" w:fill="DDD9C3" w:themeFill="background2" w:themeFillShade="E6"/>
          </w:tcPr>
          <w:p w14:paraId="28519ACA" w14:textId="77777777" w:rsidR="008B0280" w:rsidRPr="00A7585C" w:rsidRDefault="008B0280" w:rsidP="008D0670">
            <w:pPr>
              <w:jc w:val="center"/>
              <w:rPr>
                <w:rFonts w:cs="Arial"/>
                <w:b/>
                <w:bCs/>
              </w:rPr>
            </w:pPr>
            <w:r w:rsidRPr="00A7585C">
              <w:rPr>
                <w:rFonts w:cs="Arial"/>
                <w:b/>
                <w:bCs/>
              </w:rPr>
              <w:t>Change Summary</w:t>
            </w:r>
          </w:p>
        </w:tc>
        <w:tc>
          <w:tcPr>
            <w:tcW w:w="1766" w:type="dxa"/>
            <w:shd w:val="clear" w:color="auto" w:fill="DDD9C3" w:themeFill="background2" w:themeFillShade="E6"/>
          </w:tcPr>
          <w:p w14:paraId="28519ACB" w14:textId="77777777" w:rsidR="008B0280" w:rsidRPr="00A7585C" w:rsidRDefault="008B0280" w:rsidP="008D0670">
            <w:pPr>
              <w:jc w:val="center"/>
              <w:rPr>
                <w:rFonts w:cs="Arial"/>
                <w:b/>
                <w:bCs/>
              </w:rPr>
            </w:pPr>
            <w:r w:rsidRPr="00A7585C">
              <w:rPr>
                <w:rFonts w:cs="Arial"/>
                <w:b/>
                <w:bCs/>
              </w:rPr>
              <w:t>Approver</w:t>
            </w:r>
          </w:p>
        </w:tc>
        <w:tc>
          <w:tcPr>
            <w:tcW w:w="2152" w:type="dxa"/>
            <w:shd w:val="clear" w:color="auto" w:fill="DDD9C3" w:themeFill="background2" w:themeFillShade="E6"/>
          </w:tcPr>
          <w:p w14:paraId="28519ACC" w14:textId="77777777" w:rsidR="008B0280" w:rsidRPr="00A7585C" w:rsidRDefault="008B0280" w:rsidP="008D0670">
            <w:pPr>
              <w:jc w:val="center"/>
              <w:rPr>
                <w:rFonts w:cs="Arial"/>
                <w:b/>
                <w:bCs/>
              </w:rPr>
            </w:pPr>
            <w:r w:rsidRPr="00A7585C">
              <w:rPr>
                <w:rFonts w:cs="Arial"/>
                <w:b/>
                <w:bCs/>
              </w:rPr>
              <w:t>Approving Organization</w:t>
            </w:r>
          </w:p>
        </w:tc>
      </w:tr>
      <w:tr w:rsidR="00016707" w:rsidRPr="00A7585C" w14:paraId="28519AD3" w14:textId="77777777" w:rsidTr="00016707">
        <w:tc>
          <w:tcPr>
            <w:tcW w:w="1345" w:type="dxa"/>
          </w:tcPr>
          <w:p w14:paraId="28519ACE" w14:textId="77777777" w:rsidR="00016707" w:rsidRPr="00A7585C" w:rsidRDefault="00016707" w:rsidP="00016707">
            <w:r>
              <w:t>Jan 4 2016</w:t>
            </w:r>
          </w:p>
        </w:tc>
        <w:tc>
          <w:tcPr>
            <w:tcW w:w="1710" w:type="dxa"/>
          </w:tcPr>
          <w:p w14:paraId="28519ACF" w14:textId="77777777" w:rsidR="00016707" w:rsidRPr="00A7585C" w:rsidRDefault="00016707" w:rsidP="00016707">
            <w:pPr>
              <w:jc w:val="center"/>
            </w:pPr>
            <w:r>
              <w:t>1</w:t>
            </w:r>
          </w:p>
        </w:tc>
        <w:tc>
          <w:tcPr>
            <w:tcW w:w="2824" w:type="dxa"/>
          </w:tcPr>
          <w:p w14:paraId="28519AD0" w14:textId="77777777" w:rsidR="00016707" w:rsidRPr="00A7585C" w:rsidRDefault="00016707" w:rsidP="00016707">
            <w:pPr>
              <w:jc w:val="left"/>
            </w:pPr>
            <w:r w:rsidRPr="00016707">
              <w:t>BIQS implementation to replace QSB+</w:t>
            </w:r>
          </w:p>
        </w:tc>
        <w:tc>
          <w:tcPr>
            <w:tcW w:w="1766" w:type="dxa"/>
          </w:tcPr>
          <w:p w14:paraId="28519AD1" w14:textId="77777777" w:rsidR="00016707" w:rsidRDefault="00016707" w:rsidP="00016707">
            <w:r w:rsidRPr="00603BC3">
              <w:t xml:space="preserve">Global Business Process </w:t>
            </w:r>
            <w:r>
              <w:t>Team</w:t>
            </w:r>
          </w:p>
        </w:tc>
        <w:tc>
          <w:tcPr>
            <w:tcW w:w="2152" w:type="dxa"/>
          </w:tcPr>
          <w:p w14:paraId="28519AD2" w14:textId="77777777" w:rsidR="00016707" w:rsidRPr="00A7585C" w:rsidRDefault="00016707" w:rsidP="00016707">
            <w:r w:rsidRPr="00A7585C">
              <w:t>Supplier Quality and Development</w:t>
            </w:r>
          </w:p>
        </w:tc>
      </w:tr>
      <w:tr w:rsidR="00016707" w:rsidRPr="00A7585C" w14:paraId="28519AD9" w14:textId="77777777" w:rsidTr="00016707">
        <w:tc>
          <w:tcPr>
            <w:tcW w:w="1345" w:type="dxa"/>
          </w:tcPr>
          <w:p w14:paraId="28519AD4" w14:textId="77777777" w:rsidR="00016707" w:rsidRPr="00A7585C" w:rsidRDefault="00016707" w:rsidP="00016707">
            <w:r>
              <w:t>Oct 5 2017</w:t>
            </w:r>
          </w:p>
        </w:tc>
        <w:tc>
          <w:tcPr>
            <w:tcW w:w="1710" w:type="dxa"/>
          </w:tcPr>
          <w:p w14:paraId="28519AD5" w14:textId="77777777" w:rsidR="00016707" w:rsidRPr="00A7585C" w:rsidRDefault="00016707" w:rsidP="00016707">
            <w:pPr>
              <w:jc w:val="center"/>
            </w:pPr>
            <w:r>
              <w:t>2</w:t>
            </w:r>
          </w:p>
        </w:tc>
        <w:tc>
          <w:tcPr>
            <w:tcW w:w="2824" w:type="dxa"/>
          </w:tcPr>
          <w:p w14:paraId="28519AD6" w14:textId="77777777" w:rsidR="00016707" w:rsidRPr="00A7585C" w:rsidRDefault="00016707" w:rsidP="00016707">
            <w:pPr>
              <w:jc w:val="left"/>
            </w:pPr>
            <w:r w:rsidRPr="00016707">
              <w:t>Added CQI-27 and change RPN reduction to Risk Analysis</w:t>
            </w:r>
          </w:p>
        </w:tc>
        <w:tc>
          <w:tcPr>
            <w:tcW w:w="1766" w:type="dxa"/>
          </w:tcPr>
          <w:p w14:paraId="28519AD7" w14:textId="77777777" w:rsidR="00016707" w:rsidRDefault="00016707" w:rsidP="00016707">
            <w:r w:rsidRPr="00603BC3">
              <w:t xml:space="preserve">Global Business Process </w:t>
            </w:r>
            <w:r>
              <w:t>Team</w:t>
            </w:r>
          </w:p>
        </w:tc>
        <w:tc>
          <w:tcPr>
            <w:tcW w:w="2152" w:type="dxa"/>
          </w:tcPr>
          <w:p w14:paraId="28519AD8" w14:textId="77777777" w:rsidR="00016707" w:rsidRPr="00A7585C" w:rsidRDefault="00016707" w:rsidP="00016707">
            <w:r w:rsidRPr="00A7585C">
              <w:t>Supplier Quality and Development</w:t>
            </w:r>
          </w:p>
        </w:tc>
      </w:tr>
      <w:tr w:rsidR="00016707" w:rsidRPr="00A7585C" w14:paraId="28519ADF" w14:textId="77777777" w:rsidTr="00016707">
        <w:tc>
          <w:tcPr>
            <w:tcW w:w="1345" w:type="dxa"/>
          </w:tcPr>
          <w:p w14:paraId="28519ADA" w14:textId="77777777" w:rsidR="00016707" w:rsidRPr="00A7585C" w:rsidRDefault="00C01412" w:rsidP="00C01412">
            <w:r>
              <w:t>Aug 1 2018</w:t>
            </w:r>
          </w:p>
        </w:tc>
        <w:tc>
          <w:tcPr>
            <w:tcW w:w="1710" w:type="dxa"/>
          </w:tcPr>
          <w:p w14:paraId="28519ADB" w14:textId="77777777" w:rsidR="00016707" w:rsidRPr="00A7585C" w:rsidRDefault="00016707" w:rsidP="00016707">
            <w:pPr>
              <w:jc w:val="center"/>
            </w:pPr>
            <w:r>
              <w:t>3</w:t>
            </w:r>
          </w:p>
        </w:tc>
        <w:tc>
          <w:tcPr>
            <w:tcW w:w="2824" w:type="dxa"/>
          </w:tcPr>
          <w:p w14:paraId="28519ADC" w14:textId="77777777" w:rsidR="00016707" w:rsidRPr="00A7585C" w:rsidRDefault="00016707" w:rsidP="00D57B96">
            <w:r>
              <w:t>Added</w:t>
            </w:r>
            <w:r w:rsidR="00D57B96">
              <w:t xml:space="preserve"> correct </w:t>
            </w:r>
            <w:r>
              <w:t xml:space="preserve">header and formatted document per CG requirements </w:t>
            </w:r>
          </w:p>
        </w:tc>
        <w:tc>
          <w:tcPr>
            <w:tcW w:w="1766" w:type="dxa"/>
          </w:tcPr>
          <w:p w14:paraId="28519ADD" w14:textId="77777777" w:rsidR="00016707" w:rsidRDefault="00016707" w:rsidP="00016707">
            <w:r w:rsidRPr="00603BC3">
              <w:t xml:space="preserve">Global Business Process </w:t>
            </w:r>
            <w:r>
              <w:t>Team</w:t>
            </w:r>
          </w:p>
        </w:tc>
        <w:tc>
          <w:tcPr>
            <w:tcW w:w="2152" w:type="dxa"/>
          </w:tcPr>
          <w:p w14:paraId="28519ADE" w14:textId="77777777" w:rsidR="00016707" w:rsidRPr="00A7585C" w:rsidRDefault="00016707" w:rsidP="00016707">
            <w:r w:rsidRPr="00A7585C">
              <w:t>Supplier Quality and Development</w:t>
            </w:r>
          </w:p>
        </w:tc>
      </w:tr>
      <w:tr w:rsidR="00013787" w:rsidRPr="00A7585C" w14:paraId="30E37004" w14:textId="77777777" w:rsidTr="0007094E">
        <w:tc>
          <w:tcPr>
            <w:tcW w:w="1345" w:type="dxa"/>
          </w:tcPr>
          <w:p w14:paraId="5DE6BE99" w14:textId="77777777" w:rsidR="00013787" w:rsidRPr="00A7585C" w:rsidRDefault="00013787" w:rsidP="0007094E">
            <w:r>
              <w:t>April 9 2019</w:t>
            </w:r>
          </w:p>
        </w:tc>
        <w:tc>
          <w:tcPr>
            <w:tcW w:w="1710" w:type="dxa"/>
          </w:tcPr>
          <w:p w14:paraId="782AD73C" w14:textId="6618F3F2" w:rsidR="00013787" w:rsidRPr="00A7585C" w:rsidRDefault="00013787" w:rsidP="0007094E">
            <w:pPr>
              <w:jc w:val="center"/>
            </w:pPr>
            <w:r>
              <w:t>4</w:t>
            </w:r>
            <w:r w:rsidR="001175D2">
              <w:t>.0</w:t>
            </w:r>
          </w:p>
        </w:tc>
        <w:tc>
          <w:tcPr>
            <w:tcW w:w="2824" w:type="dxa"/>
          </w:tcPr>
          <w:p w14:paraId="1E90146E" w14:textId="60DA220F" w:rsidR="00013787" w:rsidRPr="00A7585C" w:rsidRDefault="00C35209" w:rsidP="0007094E">
            <w:pPr>
              <w:spacing w:before="0" w:after="0"/>
              <w:jc w:val="left"/>
            </w:pPr>
            <w:r>
              <w:t xml:space="preserve">6.3.1 </w:t>
            </w:r>
            <w:r w:rsidR="00013787">
              <w:t>Changed “should” to “shall”</w:t>
            </w:r>
          </w:p>
        </w:tc>
        <w:tc>
          <w:tcPr>
            <w:tcW w:w="1766" w:type="dxa"/>
          </w:tcPr>
          <w:p w14:paraId="186C8EB7" w14:textId="77777777" w:rsidR="00013787" w:rsidRPr="00A7585C" w:rsidRDefault="00013787" w:rsidP="0007094E">
            <w:r w:rsidRPr="00FD352B">
              <w:t>Global Business Process Team</w:t>
            </w:r>
          </w:p>
        </w:tc>
        <w:tc>
          <w:tcPr>
            <w:tcW w:w="2152" w:type="dxa"/>
          </w:tcPr>
          <w:p w14:paraId="17ABB24A" w14:textId="77777777" w:rsidR="00013787" w:rsidRPr="00A7585C" w:rsidRDefault="00013787" w:rsidP="0007094E">
            <w:r w:rsidRPr="00FD352B">
              <w:t>Supplier Quality and Development</w:t>
            </w:r>
          </w:p>
        </w:tc>
      </w:tr>
      <w:tr w:rsidR="00A7585C" w:rsidRPr="00A7585C" w14:paraId="28519AE5" w14:textId="77777777" w:rsidTr="00016707">
        <w:tc>
          <w:tcPr>
            <w:tcW w:w="1345" w:type="dxa"/>
          </w:tcPr>
          <w:p w14:paraId="28519AE0" w14:textId="70683E0E" w:rsidR="009D4761" w:rsidRPr="00A7585C" w:rsidRDefault="00343435" w:rsidP="008704F4">
            <w:bookmarkStart w:id="0" w:name="_Hlk29897802"/>
            <w:r>
              <w:t>December</w:t>
            </w:r>
            <w:r w:rsidR="001175D2">
              <w:t xml:space="preserve"> </w:t>
            </w:r>
            <w:r w:rsidR="007F4D6F">
              <w:t>15</w:t>
            </w:r>
            <w:r w:rsidR="001175D2">
              <w:t xml:space="preserve"> 2019</w:t>
            </w:r>
          </w:p>
        </w:tc>
        <w:tc>
          <w:tcPr>
            <w:tcW w:w="1710" w:type="dxa"/>
          </w:tcPr>
          <w:p w14:paraId="28519AE1" w14:textId="2ADF542C" w:rsidR="009D4761" w:rsidRPr="00A7585C" w:rsidRDefault="001175D2" w:rsidP="009D4761">
            <w:pPr>
              <w:jc w:val="center"/>
            </w:pPr>
            <w:r>
              <w:t>5.0</w:t>
            </w:r>
          </w:p>
        </w:tc>
        <w:tc>
          <w:tcPr>
            <w:tcW w:w="2824" w:type="dxa"/>
          </w:tcPr>
          <w:p w14:paraId="52D1B45D" w14:textId="77777777" w:rsidR="005C350B" w:rsidRDefault="00925691" w:rsidP="00DF4DA5">
            <w:pPr>
              <w:spacing w:before="0" w:after="0"/>
              <w:jc w:val="left"/>
            </w:pPr>
            <w:r>
              <w:t>3. Replaced all GP references with the GM1927 document number</w:t>
            </w:r>
          </w:p>
          <w:p w14:paraId="3B717651" w14:textId="3D8F4C19" w:rsidR="00925691" w:rsidRDefault="00925691" w:rsidP="00DF4DA5">
            <w:pPr>
              <w:spacing w:before="0" w:after="0"/>
              <w:jc w:val="left"/>
            </w:pPr>
            <w:r>
              <w:t>GP 9</w:t>
            </w:r>
            <w:r w:rsidR="00787521">
              <w:t xml:space="preserve"> </w:t>
            </w:r>
            <w:r>
              <w:t>= GM 1927 35</w:t>
            </w:r>
          </w:p>
          <w:p w14:paraId="7E22D957" w14:textId="7417A141" w:rsidR="00925691" w:rsidRDefault="00925691" w:rsidP="00DF4DA5">
            <w:pPr>
              <w:spacing w:before="0" w:after="0"/>
              <w:jc w:val="left"/>
            </w:pPr>
            <w:r>
              <w:t>GP 12 = GM</w:t>
            </w:r>
            <w:r w:rsidR="00787521">
              <w:t xml:space="preserve"> </w:t>
            </w:r>
            <w:r>
              <w:t>1927 28</w:t>
            </w:r>
          </w:p>
          <w:p w14:paraId="4E47E971" w14:textId="48B66E02" w:rsidR="00563A7E" w:rsidRPr="00612680" w:rsidRDefault="00563A7E" w:rsidP="00DF4DA5">
            <w:pPr>
              <w:spacing w:before="0" w:after="0"/>
              <w:jc w:val="left"/>
            </w:pPr>
            <w:r w:rsidRPr="00612680">
              <w:t xml:space="preserve">5.2 </w:t>
            </w:r>
            <w:r w:rsidR="00351D02" w:rsidRPr="00612680">
              <w:t>revised</w:t>
            </w:r>
          </w:p>
          <w:p w14:paraId="2F18BD4C" w14:textId="44B65840" w:rsidR="00315F61" w:rsidRDefault="00315F61" w:rsidP="00DF4DA5">
            <w:pPr>
              <w:spacing w:before="0" w:after="0"/>
              <w:jc w:val="left"/>
            </w:pPr>
            <w:r>
              <w:t>9.1 Added (Escalation Process)</w:t>
            </w:r>
          </w:p>
          <w:p w14:paraId="28519AE2" w14:textId="18E401B9" w:rsidR="00925691" w:rsidRPr="00A7585C" w:rsidRDefault="00925691" w:rsidP="00DF4DA5">
            <w:pPr>
              <w:spacing w:before="0" w:after="0"/>
              <w:jc w:val="left"/>
            </w:pPr>
          </w:p>
        </w:tc>
        <w:tc>
          <w:tcPr>
            <w:tcW w:w="1766" w:type="dxa"/>
          </w:tcPr>
          <w:p w14:paraId="28519AE3" w14:textId="16DE94F5" w:rsidR="009D4761" w:rsidRPr="00A7585C" w:rsidRDefault="00042A62" w:rsidP="009D4761">
            <w:r w:rsidRPr="00042A62">
              <w:t>Global Business Process Team</w:t>
            </w:r>
          </w:p>
        </w:tc>
        <w:tc>
          <w:tcPr>
            <w:tcW w:w="2152" w:type="dxa"/>
          </w:tcPr>
          <w:p w14:paraId="28519AE4" w14:textId="4363EAB9" w:rsidR="009D4761" w:rsidRPr="00A7585C" w:rsidRDefault="00E426A6" w:rsidP="009D4761">
            <w:r w:rsidRPr="00E426A6">
              <w:t>Supplier Quality and Development</w:t>
            </w:r>
          </w:p>
        </w:tc>
      </w:tr>
      <w:bookmarkEnd w:id="0"/>
      <w:tr w:rsidR="001230DB" w:rsidRPr="00A7585C" w14:paraId="3A19B38C" w14:textId="77777777" w:rsidTr="00016707">
        <w:tc>
          <w:tcPr>
            <w:tcW w:w="1345" w:type="dxa"/>
          </w:tcPr>
          <w:p w14:paraId="0BD2220E" w14:textId="66DC5197" w:rsidR="001230DB" w:rsidRDefault="001230DB" w:rsidP="001230DB">
            <w:r>
              <w:t>January 14, 2020</w:t>
            </w:r>
          </w:p>
        </w:tc>
        <w:tc>
          <w:tcPr>
            <w:tcW w:w="1710" w:type="dxa"/>
          </w:tcPr>
          <w:p w14:paraId="17713A58" w14:textId="0BE68EF2" w:rsidR="001230DB" w:rsidRDefault="001230DB" w:rsidP="001230DB">
            <w:pPr>
              <w:jc w:val="center"/>
            </w:pPr>
            <w:r>
              <w:t>6.0</w:t>
            </w:r>
          </w:p>
        </w:tc>
        <w:tc>
          <w:tcPr>
            <w:tcW w:w="2824" w:type="dxa"/>
          </w:tcPr>
          <w:p w14:paraId="48C5A9DB" w14:textId="65E2493F" w:rsidR="001230DB" w:rsidRDefault="00B05B98" w:rsidP="001230DB">
            <w:pPr>
              <w:spacing w:before="0" w:after="0"/>
              <w:jc w:val="left"/>
            </w:pPr>
            <w:r>
              <w:t>6.1.1 Added “</w:t>
            </w:r>
            <w:r w:rsidRPr="00B05B98">
              <w:t>Risk assessment shall be communicated to cross functional PDT Prior to Production tooling release (TKO) and following reassessment for any additional design or process changes implemented thru start of production.</w:t>
            </w:r>
            <w:r>
              <w:t xml:space="preserve">” </w:t>
            </w:r>
          </w:p>
          <w:p w14:paraId="3520EA40" w14:textId="161D6349" w:rsidR="00B05B98" w:rsidRDefault="00B05B98" w:rsidP="001230DB">
            <w:pPr>
              <w:spacing w:before="0" w:after="0"/>
              <w:jc w:val="left"/>
            </w:pPr>
            <w:r>
              <w:t>8.2 NEW</w:t>
            </w:r>
          </w:p>
          <w:p w14:paraId="00769993" w14:textId="561FF3BB" w:rsidR="00B05B98" w:rsidRDefault="00B05B98" w:rsidP="001230DB">
            <w:pPr>
              <w:spacing w:before="0" w:after="0"/>
              <w:jc w:val="left"/>
            </w:pPr>
            <w:r>
              <w:t>10.1.5 NEW “</w:t>
            </w:r>
            <w:r w:rsidRPr="00B05B98">
              <w:t>Read across of new lessons learned</w:t>
            </w:r>
            <w:r>
              <w:t>”</w:t>
            </w:r>
          </w:p>
          <w:p w14:paraId="6DD811D7" w14:textId="39FA0CB1" w:rsidR="00B05B98" w:rsidRDefault="00B05B98" w:rsidP="001230DB">
            <w:pPr>
              <w:spacing w:before="0" w:after="0"/>
              <w:jc w:val="left"/>
            </w:pPr>
          </w:p>
        </w:tc>
        <w:tc>
          <w:tcPr>
            <w:tcW w:w="1766" w:type="dxa"/>
          </w:tcPr>
          <w:p w14:paraId="15315713" w14:textId="4C756218" w:rsidR="001230DB" w:rsidRPr="00042A62" w:rsidRDefault="001230DB" w:rsidP="001230DB">
            <w:r w:rsidRPr="00042A62">
              <w:t>Global Business Process Team</w:t>
            </w:r>
          </w:p>
        </w:tc>
        <w:tc>
          <w:tcPr>
            <w:tcW w:w="2152" w:type="dxa"/>
          </w:tcPr>
          <w:p w14:paraId="20E63205" w14:textId="4E411DF1" w:rsidR="001230DB" w:rsidRPr="00E426A6" w:rsidRDefault="001230DB" w:rsidP="001230DB">
            <w:r w:rsidRPr="00E426A6">
              <w:t>Supplier Quality and Development</w:t>
            </w:r>
          </w:p>
        </w:tc>
      </w:tr>
    </w:tbl>
    <w:p w14:paraId="28519AE6" w14:textId="77777777" w:rsidR="004239E2" w:rsidRPr="00A7585C" w:rsidRDefault="004239E2" w:rsidP="00EB6FB7">
      <w:pPr>
        <w:rPr>
          <w:rFonts w:eastAsia="Arial" w:cs="Arial"/>
          <w:b/>
          <w:sz w:val="24"/>
          <w:szCs w:val="24"/>
        </w:rPr>
      </w:pPr>
    </w:p>
    <w:sectPr w:rsidR="004239E2" w:rsidRPr="00A7585C" w:rsidSect="00C10C5F">
      <w:headerReference w:type="even" r:id="rId11"/>
      <w:headerReference w:type="default" r:id="rId12"/>
      <w:footerReference w:type="even" r:id="rId13"/>
      <w:footerReference w:type="default" r:id="rId14"/>
      <w:headerReference w:type="first" r:id="rId15"/>
      <w:footerReference w:type="first" r:id="rId16"/>
      <w:pgSz w:w="11909" w:h="16834" w:code="9"/>
      <w:pgMar w:top="1699" w:right="1051" w:bottom="720" w:left="1051" w:header="720" w:footer="43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FABEB" w14:textId="77777777" w:rsidR="0034659F" w:rsidRDefault="0034659F" w:rsidP="004B47A5">
      <w:pPr>
        <w:pStyle w:val="HeadingAppendix"/>
      </w:pPr>
      <w:r>
        <w:separator/>
      </w:r>
    </w:p>
  </w:endnote>
  <w:endnote w:type="continuationSeparator" w:id="0">
    <w:p w14:paraId="4CA832C8" w14:textId="77777777" w:rsidR="0034659F" w:rsidRDefault="0034659F" w:rsidP="004B47A5">
      <w:pPr>
        <w:pStyle w:val="HeadingAppendix"/>
      </w:pPr>
      <w:r>
        <w:continuationSeparator/>
      </w:r>
    </w:p>
  </w:endnote>
  <w:endnote w:type="continuationNotice" w:id="1">
    <w:p w14:paraId="01B09058" w14:textId="77777777" w:rsidR="0034659F" w:rsidRDefault="0034659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insideH w:val="single" w:sz="4" w:space="0" w:color="auto"/>
      </w:tblBorders>
      <w:tblLook w:val="0000" w:firstRow="0" w:lastRow="0" w:firstColumn="0" w:lastColumn="0" w:noHBand="0" w:noVBand="0"/>
    </w:tblPr>
    <w:tblGrid>
      <w:gridCol w:w="4894"/>
      <w:gridCol w:w="4913"/>
    </w:tblGrid>
    <w:tr w:rsidR="0007094E" w14:paraId="28519AF9" w14:textId="77777777" w:rsidTr="0046541C">
      <w:trPr>
        <w:cantSplit/>
      </w:trPr>
      <w:tc>
        <w:tcPr>
          <w:tcW w:w="5000" w:type="pct"/>
          <w:gridSpan w:val="2"/>
        </w:tcPr>
        <w:p w14:paraId="28519AF8" w14:textId="77777777" w:rsidR="0007094E" w:rsidRDefault="0007094E" w:rsidP="00872D91">
          <w:pPr>
            <w:tabs>
              <w:tab w:val="right" w:pos="9781"/>
            </w:tabs>
            <w:jc w:val="center"/>
            <w:rPr>
              <w:color w:val="000000"/>
              <w:sz w:val="16"/>
            </w:rPr>
          </w:pPr>
          <w:r>
            <w:rPr>
              <w:color w:val="000000"/>
              <w:sz w:val="16"/>
            </w:rPr>
            <w:t>© Copyright 2009 General Motors Corporation All Rights Reserved</w:t>
          </w:r>
        </w:p>
      </w:tc>
    </w:tr>
    <w:tr w:rsidR="0007094E" w14:paraId="28519AFC" w14:textId="77777777" w:rsidTr="0046541C">
      <w:tc>
        <w:tcPr>
          <w:tcW w:w="2495" w:type="pct"/>
        </w:tcPr>
        <w:p w14:paraId="28519AFA" w14:textId="77777777" w:rsidR="0007094E" w:rsidRDefault="0007094E" w:rsidP="0046541C">
          <w:pPr>
            <w:tabs>
              <w:tab w:val="right" w:pos="9781"/>
            </w:tabs>
            <w:jc w:val="left"/>
            <w:rPr>
              <w:color w:val="000000"/>
            </w:rPr>
          </w:pPr>
          <w:r>
            <w:rPr>
              <w:snapToGrid w:val="0"/>
              <w:color w:val="000000"/>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rPr>
              <w:snapToGrid w:val="0"/>
              <w:color w:val="000000"/>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23</w:t>
          </w:r>
          <w:r>
            <w:rPr>
              <w:rStyle w:val="PageNumber"/>
            </w:rPr>
            <w:fldChar w:fldCharType="end"/>
          </w:r>
        </w:p>
      </w:tc>
      <w:tc>
        <w:tcPr>
          <w:tcW w:w="2505" w:type="pct"/>
        </w:tcPr>
        <w:p w14:paraId="28519AFB" w14:textId="77777777" w:rsidR="0007094E" w:rsidRDefault="0007094E" w:rsidP="0046541C">
          <w:pPr>
            <w:tabs>
              <w:tab w:val="right" w:pos="9781"/>
            </w:tabs>
            <w:jc w:val="right"/>
            <w:rPr>
              <w:color w:val="000000"/>
            </w:rPr>
          </w:pPr>
          <w:r>
            <w:rPr>
              <w:color w:val="000000"/>
            </w:rPr>
            <w:t>January 2009</w:t>
          </w:r>
        </w:p>
      </w:tc>
    </w:tr>
  </w:tbl>
  <w:p w14:paraId="28519AFD" w14:textId="77777777" w:rsidR="0007094E" w:rsidRDefault="0007094E">
    <w:pPr>
      <w:pStyle w:val="Footer"/>
    </w:pPr>
  </w:p>
  <w:p w14:paraId="28519AFE" w14:textId="77777777" w:rsidR="0007094E" w:rsidRDefault="0007094E"/>
  <w:p w14:paraId="28519AFF" w14:textId="77777777" w:rsidR="0007094E" w:rsidRDefault="000709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B00" w14:textId="5D4863C7" w:rsidR="0007094E" w:rsidRDefault="00266CD0">
    <w:pPr>
      <w:pStyle w:val="Footer"/>
      <w:jc w:val="right"/>
    </w:pPr>
    <w:r>
      <w:rPr>
        <w:noProof/>
      </w:rPr>
      <mc:AlternateContent>
        <mc:Choice Requires="wps">
          <w:drawing>
            <wp:anchor distT="0" distB="0" distL="114300" distR="114300" simplePos="0" relativeHeight="251659264" behindDoc="0" locked="0" layoutInCell="0" allowOverlap="1" wp14:anchorId="3D28ABE6" wp14:editId="25487340">
              <wp:simplePos x="0" y="0"/>
              <wp:positionH relativeFrom="page">
                <wp:posOffset>0</wp:posOffset>
              </wp:positionH>
              <wp:positionV relativeFrom="page">
                <wp:posOffset>10232390</wp:posOffset>
              </wp:positionV>
              <wp:extent cx="7562215" cy="266700"/>
              <wp:effectExtent l="0" t="0" r="0" b="0"/>
              <wp:wrapNone/>
              <wp:docPr id="2" name="MSIPCM917c43169286fdb8ef246996" descr="{&quot;HashCode&quot;:73224371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2215"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1B921C7" w14:textId="2067C7E9" w:rsidR="00266CD0" w:rsidRPr="00266CD0" w:rsidRDefault="00266CD0" w:rsidP="00266CD0">
                          <w:pPr>
                            <w:spacing w:before="0" w:after="0"/>
                            <w:jc w:val="left"/>
                            <w:rPr>
                              <w:rFonts w:ascii="Calibri" w:hAnsi="Calibri" w:cs="Calibri"/>
                              <w:color w:val="000000"/>
                            </w:rPr>
                          </w:pPr>
                          <w:r w:rsidRPr="00266CD0">
                            <w:rPr>
                              <w:rFonts w:ascii="Calibri" w:hAnsi="Calibri" w:cs="Calibri"/>
                              <w:color w:val="000000"/>
                            </w:rPr>
                            <w:t>GM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D28ABE6" id="_x0000_t202" coordsize="21600,21600" o:spt="202" path="m,l,21600r21600,l21600,xe">
              <v:stroke joinstyle="miter"/>
              <v:path gradientshapeok="t" o:connecttype="rect"/>
            </v:shapetype>
            <v:shape id="MSIPCM917c43169286fdb8ef246996" o:spid="_x0000_s1026" type="#_x0000_t202" alt="{&quot;HashCode&quot;:732243713,&quot;Height&quot;:841.0,&quot;Width&quot;:595.0,&quot;Placement&quot;:&quot;Footer&quot;,&quot;Index&quot;:&quot;Primary&quot;,&quot;Section&quot;:1,&quot;Top&quot;:0.0,&quot;Left&quot;:0.0}" style="position:absolute;left:0;text-align:left;margin-left:0;margin-top:805.7pt;width:595.45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" o:allowincell="f" filled="f" stroked="f" strokeweight=".5pt">
              <v:fill o:detectmouseclick="t"/>
              <v:textbox inset="20pt,0,,0">
                <w:txbxContent>
                  <w:p w14:paraId="21B921C7" w14:textId="2067C7E9" w:rsidR="00266CD0" w:rsidRPr="00266CD0" w:rsidRDefault="00266CD0" w:rsidP="00266CD0">
                    <w:pPr>
                      <w:spacing w:before="0" w:after="0"/>
                      <w:jc w:val="left"/>
                      <w:rPr>
                        <w:rFonts w:ascii="Calibri" w:hAnsi="Calibri" w:cs="Calibri"/>
                        <w:color w:val="000000"/>
                      </w:rPr>
                    </w:pPr>
                    <w:r w:rsidRPr="00266CD0">
                      <w:rPr>
                        <w:rFonts w:ascii="Calibri" w:hAnsi="Calibri" w:cs="Calibri"/>
                        <w:color w:val="000000"/>
                      </w:rPr>
                      <w:t>GM Confidential</w:t>
                    </w:r>
                  </w:p>
                </w:txbxContent>
              </v:textbox>
              <w10:wrap anchorx="page" anchory="page"/>
            </v:shape>
          </w:pict>
        </mc:Fallback>
      </mc:AlternateContent>
    </w:r>
    <w:sdt>
      <w:sdtPr>
        <w:id w:val="-469593009"/>
        <w:docPartObj>
          <w:docPartGallery w:val="Page Numbers (Bottom of Page)"/>
          <w:docPartUnique/>
        </w:docPartObj>
      </w:sdtPr>
      <w:sdtEndPr>
        <w:rPr>
          <w:noProof/>
        </w:rPr>
      </w:sdtEndPr>
      <w:sdtContent>
        <w:r w:rsidR="0007094E">
          <w:fldChar w:fldCharType="begin"/>
        </w:r>
        <w:r w:rsidR="0007094E">
          <w:instrText xml:space="preserve"> PAGE   \* MERGEFORMAT </w:instrText>
        </w:r>
        <w:r w:rsidR="0007094E">
          <w:fldChar w:fldCharType="separate"/>
        </w:r>
        <w:r w:rsidR="0007094E">
          <w:rPr>
            <w:noProof/>
          </w:rPr>
          <w:t>1</w:t>
        </w:r>
        <w:r w:rsidR="0007094E">
          <w:rPr>
            <w:noProof/>
          </w:rPr>
          <w:fldChar w:fldCharType="end"/>
        </w:r>
      </w:sdtContent>
    </w:sdt>
  </w:p>
  <w:p w14:paraId="28519B01" w14:textId="3A4A30D5" w:rsidR="0007094E" w:rsidRDefault="00266CD0">
    <w:r>
      <w:t xml:space="preserve">                    </w:t>
    </w:r>
    <w:r w:rsidR="0007094E">
      <w:t xml:space="preserve"> </w:t>
    </w:r>
    <w:r w:rsidR="0007094E">
      <w:tab/>
    </w:r>
    <w:r w:rsidR="0007094E">
      <w:tab/>
    </w:r>
    <w:r w:rsidR="0007094E">
      <w:tab/>
    </w:r>
    <w:r w:rsidR="0007094E">
      <w:tab/>
    </w:r>
    <w:r w:rsidR="0007094E">
      <w:tab/>
    </w:r>
    <w:r w:rsidR="0007094E">
      <w:tab/>
    </w:r>
    <w:r w:rsidR="0007094E">
      <w:tab/>
      <w:t>GM Confidential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39054"/>
      <w:docPartObj>
        <w:docPartGallery w:val="Page Numbers (Bottom of Page)"/>
        <w:docPartUnique/>
      </w:docPartObj>
    </w:sdtPr>
    <w:sdtContent>
      <w:sdt>
        <w:sdtPr>
          <w:id w:val="-1287807767"/>
          <w:docPartObj>
            <w:docPartGallery w:val="Page Numbers (Top of Page)"/>
            <w:docPartUnique/>
          </w:docPartObj>
        </w:sdtPr>
        <w:sdtContent>
          <w:p w14:paraId="28519B0A" w14:textId="77777777" w:rsidR="0007094E" w:rsidRDefault="0007094E">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23</w:t>
            </w:r>
            <w:r>
              <w:rPr>
                <w:b/>
                <w:bCs/>
                <w:sz w:val="24"/>
                <w:szCs w:val="24"/>
              </w:rPr>
              <w:fldChar w:fldCharType="end"/>
            </w:r>
          </w:p>
          <w:p w14:paraId="28519B0B" w14:textId="77777777" w:rsidR="0007094E" w:rsidRDefault="0007094E" w:rsidP="00B44B61">
            <w:pPr>
              <w:pStyle w:val="Footer"/>
              <w:jc w:val="center"/>
            </w:pPr>
            <w:r w:rsidRPr="00B44B61">
              <w:rPr>
                <w:bCs/>
                <w:sz w:val="24"/>
                <w:szCs w:val="24"/>
              </w:rPr>
              <w:t>GM Confidential</w:t>
            </w:r>
          </w:p>
        </w:sdtContent>
      </w:sdt>
    </w:sdtContent>
  </w:sdt>
  <w:p w14:paraId="28519B0C" w14:textId="77777777" w:rsidR="0007094E" w:rsidRDefault="0007094E"/>
  <w:p w14:paraId="28519B0D" w14:textId="77777777" w:rsidR="0007094E" w:rsidRDefault="000709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4D28C" w14:textId="77777777" w:rsidR="0034659F" w:rsidRDefault="0034659F" w:rsidP="004B47A5">
      <w:pPr>
        <w:pStyle w:val="HeadingAppendix"/>
      </w:pPr>
      <w:r>
        <w:separator/>
      </w:r>
    </w:p>
  </w:footnote>
  <w:footnote w:type="continuationSeparator" w:id="0">
    <w:p w14:paraId="64D2C6D1" w14:textId="77777777" w:rsidR="0034659F" w:rsidRDefault="0034659F" w:rsidP="004B47A5">
      <w:pPr>
        <w:pStyle w:val="HeadingAppendix"/>
      </w:pPr>
      <w:r>
        <w:continuationSeparator/>
      </w:r>
    </w:p>
  </w:footnote>
  <w:footnote w:type="continuationNotice" w:id="1">
    <w:p w14:paraId="0CAA132F" w14:textId="77777777" w:rsidR="0034659F" w:rsidRDefault="0034659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594"/>
      <w:gridCol w:w="6203"/>
    </w:tblGrid>
    <w:tr w:rsidR="0007094E" w14:paraId="28519AED" w14:textId="77777777" w:rsidTr="00784F2A">
      <w:tc>
        <w:tcPr>
          <w:tcW w:w="1834" w:type="pct"/>
        </w:tcPr>
        <w:p w14:paraId="28519AEB" w14:textId="77777777" w:rsidR="0007094E" w:rsidRDefault="0007094E">
          <w:pPr>
            <w:pStyle w:val="Header"/>
            <w:jc w:val="left"/>
            <w:rPr>
              <w:sz w:val="24"/>
            </w:rPr>
          </w:pPr>
          <w:r>
            <w:rPr>
              <w:sz w:val="24"/>
              <w:szCs w:val="24"/>
            </w:rPr>
            <w:t>GMW or Std</w:t>
          </w:r>
          <w:r w:rsidRPr="00D26D17">
            <w:rPr>
              <w:sz w:val="24"/>
              <w:szCs w:val="24"/>
            </w:rPr>
            <w:t xml:space="preserve"> ID#</w:t>
          </w:r>
        </w:p>
      </w:tc>
      <w:tc>
        <w:tcPr>
          <w:tcW w:w="3166" w:type="pct"/>
        </w:tcPr>
        <w:p w14:paraId="28519AEC" w14:textId="77777777" w:rsidR="0007094E" w:rsidRDefault="0007094E">
          <w:pPr>
            <w:pStyle w:val="Header"/>
            <w:ind w:left="-411"/>
            <w:jc w:val="right"/>
            <w:rPr>
              <w:sz w:val="24"/>
            </w:rPr>
          </w:pPr>
          <w:r>
            <w:rPr>
              <w:sz w:val="24"/>
            </w:rPr>
            <w:t>GM WORLDWIDE ENGINEERING STANDARDS</w:t>
          </w:r>
        </w:p>
      </w:tc>
    </w:tr>
  </w:tbl>
  <w:p w14:paraId="28519AEE" w14:textId="77777777" w:rsidR="0007094E" w:rsidRPr="002D0596" w:rsidRDefault="0007094E">
    <w:pPr>
      <w:pStyle w:val="Header"/>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AEF" w14:textId="77777777" w:rsidR="0007094E" w:rsidRDefault="0007094E" w:rsidP="007648C3">
    <w:pPr>
      <w:pStyle w:val="Header"/>
      <w:framePr w:hSpace="187" w:wrap="notBeside" w:vAnchor="page" w:hAnchor="page" w:x="4534" w:y="281" w:anchorLock="1"/>
    </w:pPr>
    <w:r>
      <w:object w:dxaOrig="2750" w:dyaOrig="480" w14:anchorId="28519B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5pt;height:24pt" fillcolor="window">
          <v:imagedata r:id="rId1" o:title=""/>
        </v:shape>
        <o:OLEObject Type="Embed" ProgID="Word.Picture.8" ShapeID="_x0000_i1025" DrawAspect="Content" ObjectID="_1772939176" r:id="rId2"/>
      </w:object>
    </w:r>
  </w:p>
  <w:p w14:paraId="28519AF0" w14:textId="1AA8B5AD" w:rsidR="0007094E" w:rsidRDefault="0007094E" w:rsidP="00E9070D">
    <w:pPr>
      <w:pStyle w:val="Title"/>
      <w:numPr>
        <w:ilvl w:val="12"/>
        <w:numId w:val="0"/>
      </w:numPr>
      <w:shd w:val="clear" w:color="auto" w:fill="C0C0C0"/>
      <w:spacing w:before="0" w:after="0"/>
      <w:outlineLvl w:val="9"/>
      <w:rPr>
        <w:b w:val="0"/>
        <w:bCs w:val="0"/>
        <w:sz w:val="28"/>
        <w:szCs w:val="28"/>
      </w:rPr>
    </w:pPr>
    <w:r>
      <w:rPr>
        <w:b w:val="0"/>
        <w:bCs w:val="0"/>
        <w:sz w:val="28"/>
        <w:szCs w:val="28"/>
      </w:rPr>
      <w:t>CG4355</w:t>
    </w:r>
    <w:r w:rsidR="00E9070D">
      <w:rPr>
        <w:b w:val="0"/>
        <w:bCs w:val="0"/>
        <w:sz w:val="28"/>
        <w:szCs w:val="28"/>
      </w:rPr>
      <w:t xml:space="preserve"> GM 1927 03</w:t>
    </w:r>
  </w:p>
  <w:p w14:paraId="28519AF1" w14:textId="77777777" w:rsidR="0007094E" w:rsidRDefault="0007094E" w:rsidP="00E172BE">
    <w:pPr>
      <w:pStyle w:val="Title"/>
      <w:numPr>
        <w:ilvl w:val="12"/>
        <w:numId w:val="0"/>
      </w:numPr>
      <w:shd w:val="clear" w:color="auto" w:fill="C0C0C0"/>
      <w:spacing w:before="0" w:after="0"/>
      <w:outlineLvl w:val="9"/>
      <w:rPr>
        <w:b w:val="0"/>
        <w:bCs w:val="0"/>
        <w:sz w:val="28"/>
        <w:szCs w:val="28"/>
      </w:rPr>
    </w:pPr>
    <w:r>
      <w:rPr>
        <w:b w:val="0"/>
        <w:bCs w:val="0"/>
        <w:sz w:val="28"/>
        <w:szCs w:val="28"/>
      </w:rPr>
      <w:t xml:space="preserve">SQ Sub Tier Supplier Management Statement of Requirements </w:t>
    </w:r>
  </w:p>
  <w:p w14:paraId="28519AF3" w14:textId="535A6717" w:rsidR="0007094E" w:rsidRDefault="0007094E" w:rsidP="00FC1912">
    <w:pPr>
      <w:pStyle w:val="Header"/>
      <w:spacing w:before="0" w:after="0"/>
      <w:jc w:val="left"/>
      <w:rPr>
        <w:b w:val="0"/>
        <w:sz w:val="20"/>
      </w:rPr>
    </w:pPr>
    <w:r w:rsidRPr="000932B0">
      <w:rPr>
        <w:b w:val="0"/>
        <w:sz w:val="20"/>
      </w:rPr>
      <w:t xml:space="preserve">Document Owner:   </w:t>
    </w:r>
    <w:r>
      <w:rPr>
        <w:b w:val="0"/>
        <w:sz w:val="20"/>
      </w:rPr>
      <w:t xml:space="preserve"> </w:t>
    </w:r>
    <w:r w:rsidRPr="000932B0">
      <w:rPr>
        <w:b w:val="0"/>
        <w:sz w:val="20"/>
      </w:rPr>
      <w:t xml:space="preserve"> </w:t>
    </w:r>
    <w:r w:rsidR="00BE27DF">
      <w:rPr>
        <w:b w:val="0"/>
        <w:sz w:val="20"/>
      </w:rPr>
      <w:t>Shelly Hlifka</w:t>
    </w:r>
    <w:r>
      <w:rPr>
        <w:b w:val="0"/>
        <w:sz w:val="20"/>
      </w:rPr>
      <w:t xml:space="preserve">  </w:t>
    </w:r>
  </w:p>
  <w:p w14:paraId="28519AF5" w14:textId="4556CDF3" w:rsidR="0007094E" w:rsidRPr="00C01412" w:rsidRDefault="0007094E" w:rsidP="00273765">
    <w:pPr>
      <w:pStyle w:val="Header"/>
      <w:spacing w:before="0" w:after="0"/>
      <w:jc w:val="left"/>
      <w:rPr>
        <w:b w:val="0"/>
        <w:sz w:val="20"/>
      </w:rPr>
    </w:pPr>
    <w:r w:rsidRPr="000932B0">
      <w:rPr>
        <w:b w:val="0"/>
        <w:sz w:val="20"/>
      </w:rPr>
      <w:t xml:space="preserve">Authors:  </w:t>
    </w:r>
    <w:r>
      <w:rPr>
        <w:b w:val="0"/>
        <w:sz w:val="20"/>
      </w:rPr>
      <w:t xml:space="preserve"> </w:t>
    </w:r>
    <w:r w:rsidRPr="000932B0">
      <w:rPr>
        <w:b w:val="0"/>
        <w:sz w:val="20"/>
      </w:rPr>
      <w:t xml:space="preserve"> </w:t>
    </w:r>
    <w:r>
      <w:rPr>
        <w:b w:val="0"/>
        <w:sz w:val="20"/>
      </w:rPr>
      <w:t xml:space="preserve"> </w:t>
    </w:r>
    <w:r w:rsidR="00045B32" w:rsidRPr="00045B32">
      <w:rPr>
        <w:b w:val="0"/>
        <w:sz w:val="20"/>
      </w:rPr>
      <w:t>Anthony Chrisopoulos</w:t>
    </w:r>
  </w:p>
  <w:p w14:paraId="28519AF6" w14:textId="77777777" w:rsidR="0007094E" w:rsidRDefault="0007094E"/>
  <w:p w14:paraId="28519AF7" w14:textId="77777777" w:rsidR="0007094E" w:rsidRDefault="0007094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GMLogo"/>
  <w:p w14:paraId="28519B02" w14:textId="77777777" w:rsidR="0007094E" w:rsidRDefault="0007094E" w:rsidP="00D5181E">
    <w:pPr>
      <w:pStyle w:val="Header"/>
      <w:framePr w:hSpace="187" w:wrap="notBeside" w:vAnchor="page" w:hAnchor="page" w:x="4534" w:y="281" w:anchorLock="1"/>
    </w:pPr>
    <w:r>
      <w:object w:dxaOrig="2750" w:dyaOrig="480" w14:anchorId="28519B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7.5pt;height:24pt" fillcolor="window">
          <v:imagedata r:id="rId1" o:title=""/>
        </v:shape>
        <o:OLEObject Type="Embed" ProgID="Word.Picture.8" ShapeID="_x0000_i1026" DrawAspect="Content" ObjectID="_1772939177" r:id="rId2"/>
      </w:object>
    </w:r>
    <w:bookmarkEnd w:id="1"/>
  </w:p>
  <w:p w14:paraId="28519B03" w14:textId="77777777" w:rsidR="0007094E" w:rsidRDefault="0007094E" w:rsidP="004F3CAA">
    <w:pPr>
      <w:pStyle w:val="Title"/>
      <w:numPr>
        <w:ilvl w:val="12"/>
        <w:numId w:val="0"/>
      </w:numPr>
      <w:shd w:val="clear" w:color="auto" w:fill="C0C0C0"/>
      <w:spacing w:before="0" w:after="0"/>
      <w:outlineLvl w:val="9"/>
      <w:rPr>
        <w:b w:val="0"/>
        <w:bCs w:val="0"/>
        <w:sz w:val="28"/>
        <w:szCs w:val="28"/>
      </w:rPr>
    </w:pPr>
    <w:r>
      <w:rPr>
        <w:b w:val="0"/>
        <w:bCs w:val="0"/>
        <w:sz w:val="28"/>
        <w:szCs w:val="28"/>
      </w:rPr>
      <w:t xml:space="preserve">Supplier Quality Statement of Requirements </w:t>
    </w:r>
  </w:p>
  <w:p w14:paraId="28519B04" w14:textId="77777777" w:rsidR="0007094E" w:rsidRDefault="0007094E" w:rsidP="004F3CAA">
    <w:pPr>
      <w:pStyle w:val="Title"/>
      <w:numPr>
        <w:ilvl w:val="12"/>
        <w:numId w:val="0"/>
      </w:numPr>
      <w:shd w:val="clear" w:color="auto" w:fill="C0C0C0"/>
      <w:spacing w:before="0" w:after="0"/>
      <w:outlineLvl w:val="9"/>
      <w:rPr>
        <w:b w:val="0"/>
        <w:bCs w:val="0"/>
        <w:sz w:val="28"/>
        <w:szCs w:val="28"/>
      </w:rPr>
    </w:pPr>
    <w:r>
      <w:rPr>
        <w:b w:val="0"/>
        <w:bCs w:val="0"/>
        <w:sz w:val="28"/>
        <w:szCs w:val="28"/>
      </w:rPr>
      <w:t xml:space="preserve">CG4338 Appendix F </w:t>
    </w:r>
  </w:p>
  <w:p w14:paraId="28519B05" w14:textId="77777777" w:rsidR="0007094E" w:rsidRDefault="0007094E" w:rsidP="004F3CAA">
    <w:pPr>
      <w:pStyle w:val="Header"/>
      <w:spacing w:before="0" w:after="0"/>
      <w:jc w:val="left"/>
      <w:rPr>
        <w:b w:val="0"/>
        <w:sz w:val="20"/>
      </w:rPr>
    </w:pPr>
    <w:r w:rsidRPr="000932B0">
      <w:rPr>
        <w:b w:val="0"/>
        <w:sz w:val="20"/>
      </w:rPr>
      <w:t xml:space="preserve">Document Owner:   </w:t>
    </w:r>
    <w:r>
      <w:rPr>
        <w:b w:val="0"/>
        <w:sz w:val="20"/>
      </w:rPr>
      <w:t xml:space="preserve"> </w:t>
    </w:r>
    <w:r w:rsidRPr="000932B0">
      <w:rPr>
        <w:b w:val="0"/>
        <w:sz w:val="20"/>
      </w:rPr>
      <w:t xml:space="preserve"> </w:t>
    </w:r>
    <w:r>
      <w:rPr>
        <w:b w:val="0"/>
        <w:sz w:val="20"/>
      </w:rPr>
      <w:t>Global Business Process Team</w:t>
    </w:r>
  </w:p>
  <w:p w14:paraId="28519B06" w14:textId="77777777" w:rsidR="0007094E" w:rsidRPr="000932B0" w:rsidRDefault="0007094E" w:rsidP="004F3CAA">
    <w:pPr>
      <w:pStyle w:val="Header"/>
      <w:spacing w:before="0" w:after="0"/>
      <w:jc w:val="left"/>
      <w:rPr>
        <w:b w:val="0"/>
        <w:sz w:val="20"/>
      </w:rPr>
    </w:pPr>
    <w:r w:rsidRPr="000932B0">
      <w:rPr>
        <w:b w:val="0"/>
        <w:sz w:val="20"/>
      </w:rPr>
      <w:t xml:space="preserve">Authors:  </w:t>
    </w:r>
    <w:r>
      <w:rPr>
        <w:b w:val="0"/>
        <w:sz w:val="20"/>
      </w:rPr>
      <w:t xml:space="preserve"> </w:t>
    </w:r>
    <w:r w:rsidRPr="000932B0">
      <w:rPr>
        <w:b w:val="0"/>
        <w:sz w:val="20"/>
      </w:rPr>
      <w:t xml:space="preserve"> </w:t>
    </w:r>
    <w:r>
      <w:rPr>
        <w:b w:val="0"/>
        <w:sz w:val="20"/>
      </w:rPr>
      <w:t>Global Process Lead Team</w:t>
    </w:r>
  </w:p>
  <w:p w14:paraId="28519B07" w14:textId="77777777" w:rsidR="0007094E" w:rsidRPr="000932B0" w:rsidRDefault="0007094E" w:rsidP="004F3CAA">
    <w:pPr>
      <w:pStyle w:val="Header"/>
      <w:spacing w:before="0" w:after="0"/>
      <w:jc w:val="left"/>
      <w:rPr>
        <w:b w:val="0"/>
        <w:sz w:val="20"/>
      </w:rPr>
    </w:pPr>
    <w:r>
      <w:rPr>
        <w:b w:val="0"/>
        <w:sz w:val="20"/>
      </w:rPr>
      <w:t>Revision:  E dated January 15, 2017</w:t>
    </w:r>
  </w:p>
  <w:p w14:paraId="28519B08" w14:textId="77777777" w:rsidR="0007094E" w:rsidRDefault="0007094E"/>
  <w:p w14:paraId="28519B09" w14:textId="77777777" w:rsidR="0007094E" w:rsidRDefault="0007094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02A0AD2"/>
    <w:lvl w:ilvl="0">
      <w:start w:val="1"/>
      <w:numFmt w:val="decimal"/>
      <w:pStyle w:val="ListNumber2"/>
      <w:lvlText w:val="%1."/>
      <w:lvlJc w:val="left"/>
      <w:pPr>
        <w:tabs>
          <w:tab w:val="num" w:pos="900"/>
        </w:tabs>
        <w:ind w:left="900" w:hanging="360"/>
      </w:pPr>
    </w:lvl>
  </w:abstractNum>
  <w:abstractNum w:abstractNumId="1" w15:restartNumberingAfterBreak="0">
    <w:nsid w:val="FFFFFF88"/>
    <w:multiLevelType w:val="singleLevel"/>
    <w:tmpl w:val="8370DF16"/>
    <w:lvl w:ilvl="0">
      <w:start w:val="1"/>
      <w:numFmt w:val="lowerLetter"/>
      <w:pStyle w:val="ListNumber"/>
      <w:lvlText w:val="%1."/>
      <w:lvlJc w:val="left"/>
      <w:pPr>
        <w:tabs>
          <w:tab w:val="num" w:pos="360"/>
        </w:tabs>
        <w:ind w:left="360" w:hanging="360"/>
      </w:pPr>
      <w:rPr>
        <w:rFonts w:hint="default"/>
        <w:b w:val="0"/>
        <w:i w:val="0"/>
      </w:rPr>
    </w:lvl>
  </w:abstractNum>
  <w:abstractNum w:abstractNumId="2" w15:restartNumberingAfterBreak="0">
    <w:nsid w:val="002830A7"/>
    <w:multiLevelType w:val="multilevel"/>
    <w:tmpl w:val="7E7854A6"/>
    <w:lvl w:ilvl="0">
      <w:start w:val="5"/>
      <w:numFmt w:val="decimal"/>
      <w:lvlText w:val="%1"/>
      <w:lvlJc w:val="left"/>
      <w:pPr>
        <w:ind w:left="600" w:hanging="600"/>
      </w:pPr>
      <w:rPr>
        <w:rFonts w:hint="default"/>
      </w:rPr>
    </w:lvl>
    <w:lvl w:ilvl="1">
      <w:start w:val="1"/>
      <w:numFmt w:val="decimal"/>
      <w:lvlText w:val="%1.%2"/>
      <w:lvlJc w:val="left"/>
      <w:pPr>
        <w:ind w:left="1080" w:hanging="60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 w15:restartNumberingAfterBreak="0">
    <w:nsid w:val="02855BE3"/>
    <w:multiLevelType w:val="hybridMultilevel"/>
    <w:tmpl w:val="A61C1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FA7268"/>
    <w:multiLevelType w:val="hybridMultilevel"/>
    <w:tmpl w:val="7BE45884"/>
    <w:lvl w:ilvl="0" w:tplc="79C6155A">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3E2C7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2E48D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35F450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401D33"/>
    <w:multiLevelType w:val="hybridMultilevel"/>
    <w:tmpl w:val="32C61E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48401504">
      <w:start w:val="3"/>
      <w:numFmt w:val="bullet"/>
      <w:lvlText w:val="•"/>
      <w:lvlJc w:val="left"/>
      <w:pPr>
        <w:ind w:left="2340" w:hanging="360"/>
      </w:pPr>
      <w:rPr>
        <w:rFonts w:ascii="Arial" w:eastAsia="Times New Roman" w:hAnsi="Aria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7E7D4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DB52AD"/>
    <w:multiLevelType w:val="multilevel"/>
    <w:tmpl w:val="D7487A3A"/>
    <w:lvl w:ilvl="0">
      <w:start w:val="1"/>
      <w:numFmt w:val="decimal"/>
      <w:lvlText w:val="%1."/>
      <w:lvlJc w:val="left"/>
      <w:pPr>
        <w:ind w:left="360" w:hanging="360"/>
      </w:pPr>
      <w:rPr>
        <w:b/>
        <w:bCs/>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D1598"/>
    <w:multiLevelType w:val="hybridMultilevel"/>
    <w:tmpl w:val="3D8468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57233E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C20B90"/>
    <w:multiLevelType w:val="hybridMultilevel"/>
    <w:tmpl w:val="4738C066"/>
    <w:lvl w:ilvl="0" w:tplc="392222E0">
      <w:start w:val="1"/>
      <w:numFmt w:val="bullet"/>
      <w:pStyle w:val="CommentTex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816FC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9E5B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7C746A"/>
    <w:multiLevelType w:val="hybridMultilevel"/>
    <w:tmpl w:val="C382EA4C"/>
    <w:lvl w:ilvl="0" w:tplc="BF70A9AC">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F394DDE"/>
    <w:multiLevelType w:val="hybridMultilevel"/>
    <w:tmpl w:val="1F42B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F916D6"/>
    <w:multiLevelType w:val="hybridMultilevel"/>
    <w:tmpl w:val="8062C5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99F3EA4"/>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0" w15:restartNumberingAfterBreak="0">
    <w:nsid w:val="3A434EA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AA459BD"/>
    <w:multiLevelType w:val="hybridMultilevel"/>
    <w:tmpl w:val="E6C017D0"/>
    <w:lvl w:ilvl="0" w:tplc="CD84C770">
      <w:start w:val="1"/>
      <w:numFmt w:val="bullet"/>
      <w:lvlText w:val=""/>
      <w:lvlJc w:val="left"/>
      <w:pPr>
        <w:tabs>
          <w:tab w:val="num" w:pos="720"/>
        </w:tabs>
        <w:ind w:left="720" w:hanging="360"/>
      </w:pPr>
      <w:rPr>
        <w:rFonts w:ascii="Symbol" w:hAnsi="Symbol" w:hint="default"/>
      </w:rPr>
    </w:lvl>
    <w:lvl w:ilvl="1" w:tplc="89AAC444">
      <w:start w:val="33"/>
      <w:numFmt w:val="bullet"/>
      <w:lvlText w:val="o"/>
      <w:lvlJc w:val="left"/>
      <w:pPr>
        <w:tabs>
          <w:tab w:val="num" w:pos="1440"/>
        </w:tabs>
        <w:ind w:left="1440" w:hanging="360"/>
      </w:pPr>
      <w:rPr>
        <w:rFonts w:ascii="Courier New" w:hAnsi="Courier New" w:hint="default"/>
      </w:rPr>
    </w:lvl>
    <w:lvl w:ilvl="2" w:tplc="DB26EBD0" w:tentative="1">
      <w:start w:val="1"/>
      <w:numFmt w:val="bullet"/>
      <w:lvlText w:val=""/>
      <w:lvlJc w:val="left"/>
      <w:pPr>
        <w:tabs>
          <w:tab w:val="num" w:pos="2160"/>
        </w:tabs>
        <w:ind w:left="2160" w:hanging="360"/>
      </w:pPr>
      <w:rPr>
        <w:rFonts w:ascii="Symbol" w:hAnsi="Symbol" w:hint="default"/>
      </w:rPr>
    </w:lvl>
    <w:lvl w:ilvl="3" w:tplc="1B9CAAB6" w:tentative="1">
      <w:start w:val="1"/>
      <w:numFmt w:val="bullet"/>
      <w:lvlText w:val=""/>
      <w:lvlJc w:val="left"/>
      <w:pPr>
        <w:tabs>
          <w:tab w:val="num" w:pos="2880"/>
        </w:tabs>
        <w:ind w:left="2880" w:hanging="360"/>
      </w:pPr>
      <w:rPr>
        <w:rFonts w:ascii="Symbol" w:hAnsi="Symbol" w:hint="default"/>
      </w:rPr>
    </w:lvl>
    <w:lvl w:ilvl="4" w:tplc="77D21A0E" w:tentative="1">
      <w:start w:val="1"/>
      <w:numFmt w:val="bullet"/>
      <w:lvlText w:val=""/>
      <w:lvlJc w:val="left"/>
      <w:pPr>
        <w:tabs>
          <w:tab w:val="num" w:pos="3600"/>
        </w:tabs>
        <w:ind w:left="3600" w:hanging="360"/>
      </w:pPr>
      <w:rPr>
        <w:rFonts w:ascii="Symbol" w:hAnsi="Symbol" w:hint="default"/>
      </w:rPr>
    </w:lvl>
    <w:lvl w:ilvl="5" w:tplc="04AC79C8" w:tentative="1">
      <w:start w:val="1"/>
      <w:numFmt w:val="bullet"/>
      <w:lvlText w:val=""/>
      <w:lvlJc w:val="left"/>
      <w:pPr>
        <w:tabs>
          <w:tab w:val="num" w:pos="4320"/>
        </w:tabs>
        <w:ind w:left="4320" w:hanging="360"/>
      </w:pPr>
      <w:rPr>
        <w:rFonts w:ascii="Symbol" w:hAnsi="Symbol" w:hint="default"/>
      </w:rPr>
    </w:lvl>
    <w:lvl w:ilvl="6" w:tplc="7AB4DA82" w:tentative="1">
      <w:start w:val="1"/>
      <w:numFmt w:val="bullet"/>
      <w:lvlText w:val=""/>
      <w:lvlJc w:val="left"/>
      <w:pPr>
        <w:tabs>
          <w:tab w:val="num" w:pos="5040"/>
        </w:tabs>
        <w:ind w:left="5040" w:hanging="360"/>
      </w:pPr>
      <w:rPr>
        <w:rFonts w:ascii="Symbol" w:hAnsi="Symbol" w:hint="default"/>
      </w:rPr>
    </w:lvl>
    <w:lvl w:ilvl="7" w:tplc="67885100" w:tentative="1">
      <w:start w:val="1"/>
      <w:numFmt w:val="bullet"/>
      <w:lvlText w:val=""/>
      <w:lvlJc w:val="left"/>
      <w:pPr>
        <w:tabs>
          <w:tab w:val="num" w:pos="5760"/>
        </w:tabs>
        <w:ind w:left="5760" w:hanging="360"/>
      </w:pPr>
      <w:rPr>
        <w:rFonts w:ascii="Symbol" w:hAnsi="Symbol" w:hint="default"/>
      </w:rPr>
    </w:lvl>
    <w:lvl w:ilvl="8" w:tplc="F4005DE6"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3B073C19"/>
    <w:multiLevelType w:val="hybridMultilevel"/>
    <w:tmpl w:val="A0A084B4"/>
    <w:lvl w:ilvl="0" w:tplc="AF1079FE">
      <w:start w:val="1"/>
      <w:numFmt w:val="lowerLetter"/>
      <w:pStyle w:val="BodyTextIndent"/>
      <w:lvlText w:val="%1."/>
      <w:lvlJc w:val="left"/>
      <w:pPr>
        <w:tabs>
          <w:tab w:val="num" w:pos="648"/>
        </w:tabs>
        <w:ind w:left="360" w:hanging="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1505EEB"/>
    <w:multiLevelType w:val="hybridMultilevel"/>
    <w:tmpl w:val="EB5CC3F8"/>
    <w:lvl w:ilvl="0" w:tplc="8604C3D4">
      <w:start w:val="1"/>
      <w:numFmt w:val="bullet"/>
      <w:pStyle w:val="Bullet"/>
      <w:lvlText w:val=""/>
      <w:lvlJc w:val="left"/>
      <w:pPr>
        <w:tabs>
          <w:tab w:val="num" w:pos="360"/>
        </w:tabs>
        <w:ind w:left="0" w:firstLine="0"/>
      </w:pPr>
      <w:rPr>
        <w:rFonts w:ascii="Symbol" w:hAnsi="Symbol" w:hint="default"/>
      </w:rPr>
    </w:lvl>
    <w:lvl w:ilvl="1" w:tplc="CD862B7E">
      <w:start w:val="1"/>
      <w:numFmt w:val="bullet"/>
      <w:lvlText w:val=""/>
      <w:lvlJc w:val="left"/>
      <w:pPr>
        <w:tabs>
          <w:tab w:val="num" w:pos="360"/>
        </w:tabs>
        <w:ind w:left="0" w:firstLine="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C27F9A"/>
    <w:multiLevelType w:val="hybridMultilevel"/>
    <w:tmpl w:val="2E9C6934"/>
    <w:lvl w:ilvl="0" w:tplc="DEE8E3E2">
      <w:numFmt w:val="decimal"/>
      <w:lvlText w:val="4.%1"/>
      <w:lvlJc w:val="right"/>
      <w:pPr>
        <w:ind w:left="540" w:hanging="180"/>
      </w:pPr>
      <w:rPr>
        <w:rFonts w:ascii="Times New Roman" w:hAnsi="Times New Roman" w:cs="Times New Roman" w:hint="default"/>
      </w:rPr>
    </w:lvl>
    <w:lvl w:ilvl="1" w:tplc="0E9AAFE4">
      <w:start w:val="1"/>
      <w:numFmt w:val="decimal"/>
      <w:lvlText w:val="4.1.%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E95436"/>
    <w:multiLevelType w:val="hybridMultilevel"/>
    <w:tmpl w:val="E5D0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556DCC"/>
    <w:multiLevelType w:val="hybridMultilevel"/>
    <w:tmpl w:val="FC8E78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D019F0"/>
    <w:multiLevelType w:val="hybridMultilevel"/>
    <w:tmpl w:val="9C30842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1556BCD"/>
    <w:multiLevelType w:val="hybridMultilevel"/>
    <w:tmpl w:val="CA8E4E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A3200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AF1645"/>
    <w:multiLevelType w:val="hybridMultilevel"/>
    <w:tmpl w:val="3D04360E"/>
    <w:lvl w:ilvl="0" w:tplc="F24039F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F476D1"/>
    <w:multiLevelType w:val="hybridMultilevel"/>
    <w:tmpl w:val="7E4211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40A2FA6"/>
    <w:multiLevelType w:val="hybridMultilevel"/>
    <w:tmpl w:val="57FA77FC"/>
    <w:lvl w:ilvl="0" w:tplc="6510B298">
      <w:start w:val="1"/>
      <w:numFmt w:val="bullet"/>
      <w:lvlText w:val=""/>
      <w:lvlJc w:val="left"/>
      <w:pPr>
        <w:tabs>
          <w:tab w:val="num" w:pos="1080"/>
        </w:tabs>
        <w:ind w:left="1080" w:hanging="360"/>
      </w:pPr>
      <w:rPr>
        <w:rFonts w:ascii="Symbol" w:hAnsi="Symbol" w:hint="default"/>
      </w:rPr>
    </w:lvl>
    <w:lvl w:ilvl="1" w:tplc="20B8B020">
      <w:start w:val="1"/>
      <w:numFmt w:val="bullet"/>
      <w:lvlText w:val=""/>
      <w:lvlJc w:val="left"/>
      <w:pPr>
        <w:tabs>
          <w:tab w:val="num" w:pos="1800"/>
        </w:tabs>
        <w:ind w:left="1800" w:hanging="360"/>
      </w:pPr>
      <w:rPr>
        <w:rFonts w:ascii="Symbol" w:hAnsi="Symbol" w:hint="default"/>
      </w:rPr>
    </w:lvl>
    <w:lvl w:ilvl="2" w:tplc="2CD4131E" w:tentative="1">
      <w:start w:val="1"/>
      <w:numFmt w:val="bullet"/>
      <w:lvlText w:val=""/>
      <w:lvlJc w:val="left"/>
      <w:pPr>
        <w:tabs>
          <w:tab w:val="num" w:pos="2520"/>
        </w:tabs>
        <w:ind w:left="2520" w:hanging="360"/>
      </w:pPr>
      <w:rPr>
        <w:rFonts w:ascii="Symbol" w:hAnsi="Symbol" w:hint="default"/>
      </w:rPr>
    </w:lvl>
    <w:lvl w:ilvl="3" w:tplc="C85E42B2" w:tentative="1">
      <w:start w:val="1"/>
      <w:numFmt w:val="bullet"/>
      <w:lvlText w:val=""/>
      <w:lvlJc w:val="left"/>
      <w:pPr>
        <w:tabs>
          <w:tab w:val="num" w:pos="3240"/>
        </w:tabs>
        <w:ind w:left="3240" w:hanging="360"/>
      </w:pPr>
      <w:rPr>
        <w:rFonts w:ascii="Symbol" w:hAnsi="Symbol" w:hint="default"/>
      </w:rPr>
    </w:lvl>
    <w:lvl w:ilvl="4" w:tplc="FD0A01EA" w:tentative="1">
      <w:start w:val="1"/>
      <w:numFmt w:val="bullet"/>
      <w:lvlText w:val=""/>
      <w:lvlJc w:val="left"/>
      <w:pPr>
        <w:tabs>
          <w:tab w:val="num" w:pos="3960"/>
        </w:tabs>
        <w:ind w:left="3960" w:hanging="360"/>
      </w:pPr>
      <w:rPr>
        <w:rFonts w:ascii="Symbol" w:hAnsi="Symbol" w:hint="default"/>
      </w:rPr>
    </w:lvl>
    <w:lvl w:ilvl="5" w:tplc="CDEC5C5C" w:tentative="1">
      <w:start w:val="1"/>
      <w:numFmt w:val="bullet"/>
      <w:lvlText w:val=""/>
      <w:lvlJc w:val="left"/>
      <w:pPr>
        <w:tabs>
          <w:tab w:val="num" w:pos="4680"/>
        </w:tabs>
        <w:ind w:left="4680" w:hanging="360"/>
      </w:pPr>
      <w:rPr>
        <w:rFonts w:ascii="Symbol" w:hAnsi="Symbol" w:hint="default"/>
      </w:rPr>
    </w:lvl>
    <w:lvl w:ilvl="6" w:tplc="CF0459DE" w:tentative="1">
      <w:start w:val="1"/>
      <w:numFmt w:val="bullet"/>
      <w:lvlText w:val=""/>
      <w:lvlJc w:val="left"/>
      <w:pPr>
        <w:tabs>
          <w:tab w:val="num" w:pos="5400"/>
        </w:tabs>
        <w:ind w:left="5400" w:hanging="360"/>
      </w:pPr>
      <w:rPr>
        <w:rFonts w:ascii="Symbol" w:hAnsi="Symbol" w:hint="default"/>
      </w:rPr>
    </w:lvl>
    <w:lvl w:ilvl="7" w:tplc="073E299C" w:tentative="1">
      <w:start w:val="1"/>
      <w:numFmt w:val="bullet"/>
      <w:lvlText w:val=""/>
      <w:lvlJc w:val="left"/>
      <w:pPr>
        <w:tabs>
          <w:tab w:val="num" w:pos="6120"/>
        </w:tabs>
        <w:ind w:left="6120" w:hanging="360"/>
      </w:pPr>
      <w:rPr>
        <w:rFonts w:ascii="Symbol" w:hAnsi="Symbol" w:hint="default"/>
      </w:rPr>
    </w:lvl>
    <w:lvl w:ilvl="8" w:tplc="A76417DC" w:tentative="1">
      <w:start w:val="1"/>
      <w:numFmt w:val="bullet"/>
      <w:lvlText w:val=""/>
      <w:lvlJc w:val="left"/>
      <w:pPr>
        <w:tabs>
          <w:tab w:val="num" w:pos="6840"/>
        </w:tabs>
        <w:ind w:left="6840" w:hanging="360"/>
      </w:pPr>
      <w:rPr>
        <w:rFonts w:ascii="Symbol" w:hAnsi="Symbol" w:hint="default"/>
      </w:rPr>
    </w:lvl>
  </w:abstractNum>
  <w:abstractNum w:abstractNumId="33" w15:restartNumberingAfterBreak="0">
    <w:nsid w:val="67D63E3B"/>
    <w:multiLevelType w:val="hybridMultilevel"/>
    <w:tmpl w:val="AF945B20"/>
    <w:lvl w:ilvl="0" w:tplc="8536051E">
      <w:start w:val="1"/>
      <w:numFmt w:val="decimal"/>
      <w:lvlText w:val="4.3.%1"/>
      <w:lvlJc w:val="right"/>
      <w:pPr>
        <w:ind w:left="54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ED3A76"/>
    <w:multiLevelType w:val="singleLevel"/>
    <w:tmpl w:val="D830537E"/>
    <w:lvl w:ilvl="0">
      <w:start w:val="1"/>
      <w:numFmt w:val="bullet"/>
      <w:lvlText w:val=""/>
      <w:lvlJc w:val="left"/>
      <w:pPr>
        <w:tabs>
          <w:tab w:val="num" w:pos="450"/>
        </w:tabs>
        <w:ind w:left="450" w:hanging="360"/>
      </w:pPr>
      <w:rPr>
        <w:rFonts w:ascii="Symbol" w:hAnsi="Symbol" w:hint="default"/>
        <w:color w:val="auto"/>
        <w:sz w:val="28"/>
      </w:rPr>
    </w:lvl>
  </w:abstractNum>
  <w:abstractNum w:abstractNumId="35" w15:restartNumberingAfterBreak="0">
    <w:nsid w:val="680C5F0A"/>
    <w:multiLevelType w:val="hybridMultilevel"/>
    <w:tmpl w:val="A1A4A6AA"/>
    <w:lvl w:ilvl="0" w:tplc="08BA07E8">
      <w:start w:val="1"/>
      <w:numFmt w:val="bullet"/>
      <w:lvlText w:val=""/>
      <w:lvlJc w:val="left"/>
      <w:pPr>
        <w:ind w:left="450" w:hanging="360"/>
      </w:pPr>
      <w:rPr>
        <w:rFonts w:ascii="Symbol" w:hAnsi="Symbol" w:hint="default"/>
        <w:sz w:val="28"/>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6" w15:restartNumberingAfterBreak="0">
    <w:nsid w:val="6AC71F74"/>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7" w15:restartNumberingAfterBreak="0">
    <w:nsid w:val="6F8041D3"/>
    <w:multiLevelType w:val="multilevel"/>
    <w:tmpl w:val="0409001F"/>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0194F13"/>
    <w:multiLevelType w:val="multilevel"/>
    <w:tmpl w:val="3190B160"/>
    <w:lvl w:ilvl="0">
      <w:start w:val="4"/>
      <w:numFmt w:val="decimal"/>
      <w:lvlText w:val="%1.0"/>
      <w:lvlJc w:val="right"/>
      <w:pPr>
        <w:ind w:left="750" w:hanging="480"/>
      </w:pPr>
      <w:rPr>
        <w:rFonts w:ascii="Times New Roman" w:hAnsi="Times New Roman" w:cs="Times New Roman" w:hint="default"/>
        <w:b/>
        <w:u w:val="none"/>
      </w:rPr>
    </w:lvl>
    <w:lvl w:ilvl="1">
      <w:start w:val="4"/>
      <w:numFmt w:val="decimal"/>
      <w:lvlText w:val="%1.%2"/>
      <w:lvlJc w:val="left"/>
      <w:pPr>
        <w:ind w:left="1020" w:hanging="480"/>
      </w:pPr>
      <w:rPr>
        <w:rFonts w:ascii="Times New Roman" w:hAnsi="Times New Roman" w:hint="default"/>
        <w:b w:val="0"/>
        <w:u w:val="none"/>
      </w:rPr>
    </w:lvl>
    <w:lvl w:ilvl="2">
      <w:start w:val="1"/>
      <w:numFmt w:val="decimal"/>
      <w:lvlText w:val="%1.%2.%3"/>
      <w:lvlJc w:val="left"/>
      <w:pPr>
        <w:ind w:left="1800" w:hanging="720"/>
      </w:pPr>
      <w:rPr>
        <w:rFonts w:ascii="Times New Roman" w:hAnsi="Times New Roman" w:hint="default"/>
        <w:b w:val="0"/>
        <w:u w:val="none"/>
      </w:rPr>
    </w:lvl>
    <w:lvl w:ilvl="3">
      <w:start w:val="1"/>
      <w:numFmt w:val="decimal"/>
      <w:lvlText w:val="%1.%2.%3.%4"/>
      <w:lvlJc w:val="left"/>
      <w:pPr>
        <w:ind w:left="2340" w:hanging="720"/>
      </w:pPr>
      <w:rPr>
        <w:rFonts w:ascii="Times New Roman" w:hAnsi="Times New Roman" w:hint="default"/>
        <w:b w:val="0"/>
        <w:u w:val="none"/>
      </w:rPr>
    </w:lvl>
    <w:lvl w:ilvl="4">
      <w:start w:val="1"/>
      <w:numFmt w:val="decimal"/>
      <w:lvlText w:val="%1.%2.%3.%4.%5"/>
      <w:lvlJc w:val="left"/>
      <w:pPr>
        <w:ind w:left="3240" w:hanging="1080"/>
      </w:pPr>
      <w:rPr>
        <w:rFonts w:ascii="Times New Roman" w:hAnsi="Times New Roman" w:hint="default"/>
        <w:b w:val="0"/>
        <w:u w:val="none"/>
      </w:rPr>
    </w:lvl>
    <w:lvl w:ilvl="5">
      <w:start w:val="1"/>
      <w:numFmt w:val="decimal"/>
      <w:lvlText w:val="%1.%2.%3.%4.%5.%6"/>
      <w:lvlJc w:val="left"/>
      <w:pPr>
        <w:ind w:left="3780" w:hanging="1080"/>
      </w:pPr>
      <w:rPr>
        <w:rFonts w:ascii="Times New Roman" w:hAnsi="Times New Roman" w:hint="default"/>
        <w:b w:val="0"/>
        <w:u w:val="none"/>
      </w:rPr>
    </w:lvl>
    <w:lvl w:ilvl="6">
      <w:start w:val="1"/>
      <w:numFmt w:val="decimal"/>
      <w:lvlText w:val="%1.%2.%3.%4.%5.%6.%7"/>
      <w:lvlJc w:val="left"/>
      <w:pPr>
        <w:ind w:left="4680" w:hanging="1440"/>
      </w:pPr>
      <w:rPr>
        <w:rFonts w:ascii="Times New Roman" w:hAnsi="Times New Roman" w:hint="default"/>
        <w:b w:val="0"/>
        <w:u w:val="none"/>
      </w:rPr>
    </w:lvl>
    <w:lvl w:ilvl="7">
      <w:start w:val="1"/>
      <w:numFmt w:val="decimal"/>
      <w:lvlText w:val="%1.%2.%3.%4.%5.%6.%7.%8"/>
      <w:lvlJc w:val="left"/>
      <w:pPr>
        <w:ind w:left="5220" w:hanging="1440"/>
      </w:pPr>
      <w:rPr>
        <w:rFonts w:ascii="Times New Roman" w:hAnsi="Times New Roman" w:hint="default"/>
        <w:b w:val="0"/>
        <w:u w:val="none"/>
      </w:rPr>
    </w:lvl>
    <w:lvl w:ilvl="8">
      <w:start w:val="1"/>
      <w:numFmt w:val="decimal"/>
      <w:lvlText w:val="%1.%2.%3.%4.%5.%6.%7.%8.%9"/>
      <w:lvlJc w:val="left"/>
      <w:pPr>
        <w:ind w:left="6120" w:hanging="1800"/>
      </w:pPr>
      <w:rPr>
        <w:rFonts w:ascii="Times New Roman" w:hAnsi="Times New Roman" w:hint="default"/>
        <w:b w:val="0"/>
        <w:u w:val="none"/>
      </w:rPr>
    </w:lvl>
  </w:abstractNum>
  <w:abstractNum w:abstractNumId="39" w15:restartNumberingAfterBreak="0">
    <w:nsid w:val="765F63F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DF74DB4"/>
    <w:multiLevelType w:val="hybridMultilevel"/>
    <w:tmpl w:val="37FC2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34457844">
    <w:abstractNumId w:val="22"/>
  </w:num>
  <w:num w:numId="2" w16cid:durableId="1079324969">
    <w:abstractNumId w:val="13"/>
  </w:num>
  <w:num w:numId="3" w16cid:durableId="159085716">
    <w:abstractNumId w:val="23"/>
  </w:num>
  <w:num w:numId="4" w16cid:durableId="124007167">
    <w:abstractNumId w:val="1"/>
  </w:num>
  <w:num w:numId="5" w16cid:durableId="1177889973">
    <w:abstractNumId w:val="0"/>
  </w:num>
  <w:num w:numId="6" w16cid:durableId="2103531612">
    <w:abstractNumId w:val="37"/>
  </w:num>
  <w:num w:numId="7" w16cid:durableId="1546864703">
    <w:abstractNumId w:val="24"/>
  </w:num>
  <w:num w:numId="8" w16cid:durableId="1565992320">
    <w:abstractNumId w:val="33"/>
  </w:num>
  <w:num w:numId="9" w16cid:durableId="1464468181">
    <w:abstractNumId w:val="38"/>
  </w:num>
  <w:num w:numId="10" w16cid:durableId="1836141245">
    <w:abstractNumId w:val="7"/>
  </w:num>
  <w:num w:numId="11" w16cid:durableId="186404981">
    <w:abstractNumId w:val="11"/>
  </w:num>
  <w:num w:numId="12" w16cid:durableId="1450971852">
    <w:abstractNumId w:val="34"/>
  </w:num>
  <w:num w:numId="13" w16cid:durableId="1636250492">
    <w:abstractNumId w:val="35"/>
  </w:num>
  <w:num w:numId="14" w16cid:durableId="2070807684">
    <w:abstractNumId w:val="3"/>
  </w:num>
  <w:num w:numId="15" w16cid:durableId="1281567842">
    <w:abstractNumId w:val="40"/>
  </w:num>
  <w:num w:numId="16" w16cid:durableId="386337295">
    <w:abstractNumId w:val="32"/>
  </w:num>
  <w:num w:numId="17" w16cid:durableId="2143502498">
    <w:abstractNumId w:val="21"/>
  </w:num>
  <w:num w:numId="18" w16cid:durableId="1829519290">
    <w:abstractNumId w:val="36"/>
  </w:num>
  <w:num w:numId="19" w16cid:durableId="96679168">
    <w:abstractNumId w:val="39"/>
  </w:num>
  <w:num w:numId="20" w16cid:durableId="671176192">
    <w:abstractNumId w:val="25"/>
  </w:num>
  <w:num w:numId="21" w16cid:durableId="1335566948">
    <w:abstractNumId w:val="17"/>
  </w:num>
  <w:num w:numId="22" w16cid:durableId="658732115">
    <w:abstractNumId w:val="12"/>
  </w:num>
  <w:num w:numId="23" w16cid:durableId="843318689">
    <w:abstractNumId w:val="29"/>
  </w:num>
  <w:num w:numId="24" w16cid:durableId="490827619">
    <w:abstractNumId w:val="14"/>
  </w:num>
  <w:num w:numId="25" w16cid:durableId="61607306">
    <w:abstractNumId w:val="9"/>
  </w:num>
  <w:num w:numId="26" w16cid:durableId="1754663209">
    <w:abstractNumId w:val="5"/>
  </w:num>
  <w:num w:numId="27" w16cid:durableId="13532265">
    <w:abstractNumId w:val="6"/>
  </w:num>
  <w:num w:numId="28" w16cid:durableId="540478640">
    <w:abstractNumId w:val="18"/>
  </w:num>
  <w:num w:numId="29" w16cid:durableId="1658722918">
    <w:abstractNumId w:val="31"/>
  </w:num>
  <w:num w:numId="30" w16cid:durableId="970358465">
    <w:abstractNumId w:val="2"/>
  </w:num>
  <w:num w:numId="31" w16cid:durableId="983583633">
    <w:abstractNumId w:val="27"/>
  </w:num>
  <w:num w:numId="32" w16cid:durableId="643198549">
    <w:abstractNumId w:val="16"/>
  </w:num>
  <w:num w:numId="33" w16cid:durableId="1558979716">
    <w:abstractNumId w:val="15"/>
  </w:num>
  <w:num w:numId="34" w16cid:durableId="1377897130">
    <w:abstractNumId w:val="19"/>
  </w:num>
  <w:num w:numId="35" w16cid:durableId="199128336">
    <w:abstractNumId w:val="28"/>
  </w:num>
  <w:num w:numId="36" w16cid:durableId="2031904541">
    <w:abstractNumId w:val="20"/>
  </w:num>
  <w:num w:numId="37" w16cid:durableId="1251159253">
    <w:abstractNumId w:val="30"/>
  </w:num>
  <w:num w:numId="38" w16cid:durableId="1623490116">
    <w:abstractNumId w:val="4"/>
  </w:num>
  <w:num w:numId="39" w16cid:durableId="122308344">
    <w:abstractNumId w:val="8"/>
  </w:num>
  <w:num w:numId="40" w16cid:durableId="1349873809">
    <w:abstractNumId w:val="26"/>
  </w:num>
  <w:num w:numId="41" w16cid:durableId="1604342270">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rawingGridHorizontalSpacing w:val="100"/>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8BA"/>
    <w:rsid w:val="000030CD"/>
    <w:rsid w:val="000124FD"/>
    <w:rsid w:val="00013787"/>
    <w:rsid w:val="00013966"/>
    <w:rsid w:val="000151DB"/>
    <w:rsid w:val="00016707"/>
    <w:rsid w:val="00020926"/>
    <w:rsid w:val="00023D28"/>
    <w:rsid w:val="00023E71"/>
    <w:rsid w:val="000255A5"/>
    <w:rsid w:val="0003051F"/>
    <w:rsid w:val="00031B76"/>
    <w:rsid w:val="0003406F"/>
    <w:rsid w:val="000358BB"/>
    <w:rsid w:val="00037E0B"/>
    <w:rsid w:val="00042A62"/>
    <w:rsid w:val="00044C03"/>
    <w:rsid w:val="00045B32"/>
    <w:rsid w:val="00045CD4"/>
    <w:rsid w:val="00045F13"/>
    <w:rsid w:val="000505D6"/>
    <w:rsid w:val="00051152"/>
    <w:rsid w:val="00051449"/>
    <w:rsid w:val="000514A1"/>
    <w:rsid w:val="00052090"/>
    <w:rsid w:val="00054C71"/>
    <w:rsid w:val="000556F1"/>
    <w:rsid w:val="00055A10"/>
    <w:rsid w:val="00056A8C"/>
    <w:rsid w:val="0006094C"/>
    <w:rsid w:val="00060C73"/>
    <w:rsid w:val="00061D3C"/>
    <w:rsid w:val="00066B29"/>
    <w:rsid w:val="00067197"/>
    <w:rsid w:val="0006755D"/>
    <w:rsid w:val="0007094E"/>
    <w:rsid w:val="0007185F"/>
    <w:rsid w:val="00071B09"/>
    <w:rsid w:val="00071DD2"/>
    <w:rsid w:val="00073FEA"/>
    <w:rsid w:val="0007499D"/>
    <w:rsid w:val="00075D24"/>
    <w:rsid w:val="00084C84"/>
    <w:rsid w:val="00092906"/>
    <w:rsid w:val="00093085"/>
    <w:rsid w:val="00094AAB"/>
    <w:rsid w:val="00095421"/>
    <w:rsid w:val="000A0DA1"/>
    <w:rsid w:val="000A17BF"/>
    <w:rsid w:val="000A1994"/>
    <w:rsid w:val="000A6B36"/>
    <w:rsid w:val="000A737F"/>
    <w:rsid w:val="000A7805"/>
    <w:rsid w:val="000B06D6"/>
    <w:rsid w:val="000B0FFA"/>
    <w:rsid w:val="000B143A"/>
    <w:rsid w:val="000B2CED"/>
    <w:rsid w:val="000B4DE6"/>
    <w:rsid w:val="000B578E"/>
    <w:rsid w:val="000B6DA6"/>
    <w:rsid w:val="000C322E"/>
    <w:rsid w:val="000C5C96"/>
    <w:rsid w:val="000D0F23"/>
    <w:rsid w:val="000D474D"/>
    <w:rsid w:val="000D491F"/>
    <w:rsid w:val="000D6454"/>
    <w:rsid w:val="000D6648"/>
    <w:rsid w:val="000D775C"/>
    <w:rsid w:val="000E12D4"/>
    <w:rsid w:val="000E1899"/>
    <w:rsid w:val="000E1E3D"/>
    <w:rsid w:val="000E209C"/>
    <w:rsid w:val="000E2C5D"/>
    <w:rsid w:val="000E30EA"/>
    <w:rsid w:val="000E3BCF"/>
    <w:rsid w:val="000E4702"/>
    <w:rsid w:val="000E53BD"/>
    <w:rsid w:val="000F0B57"/>
    <w:rsid w:val="000F0DAC"/>
    <w:rsid w:val="000F21CB"/>
    <w:rsid w:val="000F31BB"/>
    <w:rsid w:val="000F327F"/>
    <w:rsid w:val="00100053"/>
    <w:rsid w:val="00100218"/>
    <w:rsid w:val="001013F5"/>
    <w:rsid w:val="001016EE"/>
    <w:rsid w:val="00102C17"/>
    <w:rsid w:val="001037AF"/>
    <w:rsid w:val="00111F28"/>
    <w:rsid w:val="00112019"/>
    <w:rsid w:val="0011223E"/>
    <w:rsid w:val="001175D2"/>
    <w:rsid w:val="0012020B"/>
    <w:rsid w:val="001230DB"/>
    <w:rsid w:val="001310E2"/>
    <w:rsid w:val="0013417C"/>
    <w:rsid w:val="00134A9C"/>
    <w:rsid w:val="0013731C"/>
    <w:rsid w:val="001373D5"/>
    <w:rsid w:val="00137A67"/>
    <w:rsid w:val="001416E4"/>
    <w:rsid w:val="0014271E"/>
    <w:rsid w:val="001430FB"/>
    <w:rsid w:val="00146D25"/>
    <w:rsid w:val="001512FF"/>
    <w:rsid w:val="00154FBF"/>
    <w:rsid w:val="001553C9"/>
    <w:rsid w:val="001554FF"/>
    <w:rsid w:val="00155C72"/>
    <w:rsid w:val="0015616A"/>
    <w:rsid w:val="00162766"/>
    <w:rsid w:val="00163CA2"/>
    <w:rsid w:val="0016426A"/>
    <w:rsid w:val="001653D6"/>
    <w:rsid w:val="00165D99"/>
    <w:rsid w:val="00166960"/>
    <w:rsid w:val="0016710B"/>
    <w:rsid w:val="00167646"/>
    <w:rsid w:val="00170A0B"/>
    <w:rsid w:val="00170A49"/>
    <w:rsid w:val="00171C1D"/>
    <w:rsid w:val="00173ADE"/>
    <w:rsid w:val="00175441"/>
    <w:rsid w:val="00175D83"/>
    <w:rsid w:val="00176155"/>
    <w:rsid w:val="001765F4"/>
    <w:rsid w:val="0017666F"/>
    <w:rsid w:val="001769B1"/>
    <w:rsid w:val="0018205A"/>
    <w:rsid w:val="0018210D"/>
    <w:rsid w:val="00185623"/>
    <w:rsid w:val="001864B2"/>
    <w:rsid w:val="00187172"/>
    <w:rsid w:val="00190441"/>
    <w:rsid w:val="0019045E"/>
    <w:rsid w:val="00190703"/>
    <w:rsid w:val="00191747"/>
    <w:rsid w:val="001921E2"/>
    <w:rsid w:val="001932DA"/>
    <w:rsid w:val="001948BB"/>
    <w:rsid w:val="00196096"/>
    <w:rsid w:val="0019705F"/>
    <w:rsid w:val="00197427"/>
    <w:rsid w:val="001A072F"/>
    <w:rsid w:val="001A1F74"/>
    <w:rsid w:val="001A4757"/>
    <w:rsid w:val="001A59E0"/>
    <w:rsid w:val="001A61BD"/>
    <w:rsid w:val="001A77FA"/>
    <w:rsid w:val="001A7B95"/>
    <w:rsid w:val="001B0221"/>
    <w:rsid w:val="001B1D2F"/>
    <w:rsid w:val="001B2A3C"/>
    <w:rsid w:val="001B40EF"/>
    <w:rsid w:val="001B4DF9"/>
    <w:rsid w:val="001B4EA8"/>
    <w:rsid w:val="001B6032"/>
    <w:rsid w:val="001C0042"/>
    <w:rsid w:val="001C1331"/>
    <w:rsid w:val="001C7510"/>
    <w:rsid w:val="001C7E26"/>
    <w:rsid w:val="001D099E"/>
    <w:rsid w:val="001D2887"/>
    <w:rsid w:val="001D2D6E"/>
    <w:rsid w:val="001D3690"/>
    <w:rsid w:val="001D3F6C"/>
    <w:rsid w:val="001D486D"/>
    <w:rsid w:val="001D4A0F"/>
    <w:rsid w:val="001D6633"/>
    <w:rsid w:val="001E04C8"/>
    <w:rsid w:val="001E1F4C"/>
    <w:rsid w:val="001E5F5C"/>
    <w:rsid w:val="001E77F4"/>
    <w:rsid w:val="001E7D84"/>
    <w:rsid w:val="001F09CF"/>
    <w:rsid w:val="001F09D2"/>
    <w:rsid w:val="001F0CE0"/>
    <w:rsid w:val="001F258B"/>
    <w:rsid w:val="001F3A41"/>
    <w:rsid w:val="001F476E"/>
    <w:rsid w:val="00203D06"/>
    <w:rsid w:val="0020665C"/>
    <w:rsid w:val="0022079B"/>
    <w:rsid w:val="002208AD"/>
    <w:rsid w:val="00221FCB"/>
    <w:rsid w:val="00227AE4"/>
    <w:rsid w:val="00227C60"/>
    <w:rsid w:val="00232A5F"/>
    <w:rsid w:val="00232C87"/>
    <w:rsid w:val="00233E7C"/>
    <w:rsid w:val="00234CF6"/>
    <w:rsid w:val="0023791C"/>
    <w:rsid w:val="00241983"/>
    <w:rsid w:val="00243818"/>
    <w:rsid w:val="00243843"/>
    <w:rsid w:val="00244604"/>
    <w:rsid w:val="00245335"/>
    <w:rsid w:val="00246B61"/>
    <w:rsid w:val="002507FD"/>
    <w:rsid w:val="00251036"/>
    <w:rsid w:val="00252F09"/>
    <w:rsid w:val="0025391E"/>
    <w:rsid w:val="00253F1E"/>
    <w:rsid w:val="00254DE5"/>
    <w:rsid w:val="00256848"/>
    <w:rsid w:val="00256E16"/>
    <w:rsid w:val="00263A80"/>
    <w:rsid w:val="00265470"/>
    <w:rsid w:val="002668D7"/>
    <w:rsid w:val="00266CD0"/>
    <w:rsid w:val="00267AE1"/>
    <w:rsid w:val="00270CB4"/>
    <w:rsid w:val="00273765"/>
    <w:rsid w:val="00274927"/>
    <w:rsid w:val="00280342"/>
    <w:rsid w:val="0028189B"/>
    <w:rsid w:val="002831F4"/>
    <w:rsid w:val="00283900"/>
    <w:rsid w:val="002865F8"/>
    <w:rsid w:val="00291A13"/>
    <w:rsid w:val="00291B50"/>
    <w:rsid w:val="00293D54"/>
    <w:rsid w:val="00297249"/>
    <w:rsid w:val="002A079B"/>
    <w:rsid w:val="002A113F"/>
    <w:rsid w:val="002A6DAE"/>
    <w:rsid w:val="002A72E4"/>
    <w:rsid w:val="002A7DE5"/>
    <w:rsid w:val="002B198F"/>
    <w:rsid w:val="002B4B22"/>
    <w:rsid w:val="002B54FA"/>
    <w:rsid w:val="002B59AE"/>
    <w:rsid w:val="002C1E69"/>
    <w:rsid w:val="002C5B58"/>
    <w:rsid w:val="002C5EF9"/>
    <w:rsid w:val="002D0596"/>
    <w:rsid w:val="002D0766"/>
    <w:rsid w:val="002D1DD8"/>
    <w:rsid w:val="002D3769"/>
    <w:rsid w:val="002D453D"/>
    <w:rsid w:val="002D56F0"/>
    <w:rsid w:val="002D6CE1"/>
    <w:rsid w:val="002D7087"/>
    <w:rsid w:val="002E0C51"/>
    <w:rsid w:val="002E1639"/>
    <w:rsid w:val="002E1819"/>
    <w:rsid w:val="002E28E8"/>
    <w:rsid w:val="002E2EA5"/>
    <w:rsid w:val="002E4E61"/>
    <w:rsid w:val="002E566C"/>
    <w:rsid w:val="002F0055"/>
    <w:rsid w:val="002F2BC2"/>
    <w:rsid w:val="002F3706"/>
    <w:rsid w:val="002F55BC"/>
    <w:rsid w:val="003009AB"/>
    <w:rsid w:val="003043E8"/>
    <w:rsid w:val="003049B5"/>
    <w:rsid w:val="00306AE9"/>
    <w:rsid w:val="00306B22"/>
    <w:rsid w:val="00307897"/>
    <w:rsid w:val="00310DA9"/>
    <w:rsid w:val="00312123"/>
    <w:rsid w:val="00312B09"/>
    <w:rsid w:val="00313340"/>
    <w:rsid w:val="003137A2"/>
    <w:rsid w:val="003139AD"/>
    <w:rsid w:val="00313A01"/>
    <w:rsid w:val="00315F61"/>
    <w:rsid w:val="0032073A"/>
    <w:rsid w:val="00322024"/>
    <w:rsid w:val="003229CD"/>
    <w:rsid w:val="00325CD1"/>
    <w:rsid w:val="003273EF"/>
    <w:rsid w:val="003278A7"/>
    <w:rsid w:val="00327E03"/>
    <w:rsid w:val="003325B4"/>
    <w:rsid w:val="00332C2B"/>
    <w:rsid w:val="00337A1A"/>
    <w:rsid w:val="00337D49"/>
    <w:rsid w:val="00341349"/>
    <w:rsid w:val="00343435"/>
    <w:rsid w:val="0034551E"/>
    <w:rsid w:val="0034659F"/>
    <w:rsid w:val="00350BA2"/>
    <w:rsid w:val="00351460"/>
    <w:rsid w:val="00351652"/>
    <w:rsid w:val="00351D02"/>
    <w:rsid w:val="0035209A"/>
    <w:rsid w:val="00355A11"/>
    <w:rsid w:val="003566A6"/>
    <w:rsid w:val="0035698F"/>
    <w:rsid w:val="003578BC"/>
    <w:rsid w:val="00363536"/>
    <w:rsid w:val="00363E3C"/>
    <w:rsid w:val="00365CAE"/>
    <w:rsid w:val="00366FF7"/>
    <w:rsid w:val="003706AF"/>
    <w:rsid w:val="00370E7C"/>
    <w:rsid w:val="00372B5E"/>
    <w:rsid w:val="00373A2A"/>
    <w:rsid w:val="003750AF"/>
    <w:rsid w:val="003752B5"/>
    <w:rsid w:val="00377633"/>
    <w:rsid w:val="0038005F"/>
    <w:rsid w:val="00383C34"/>
    <w:rsid w:val="0038453D"/>
    <w:rsid w:val="0038507D"/>
    <w:rsid w:val="00385B1A"/>
    <w:rsid w:val="003868DC"/>
    <w:rsid w:val="00386D46"/>
    <w:rsid w:val="00387ED2"/>
    <w:rsid w:val="00392B83"/>
    <w:rsid w:val="00393CC6"/>
    <w:rsid w:val="00393CE6"/>
    <w:rsid w:val="00395DBD"/>
    <w:rsid w:val="00395EA6"/>
    <w:rsid w:val="003A5273"/>
    <w:rsid w:val="003A78D8"/>
    <w:rsid w:val="003C0944"/>
    <w:rsid w:val="003C1DFE"/>
    <w:rsid w:val="003C1F8A"/>
    <w:rsid w:val="003C2D9F"/>
    <w:rsid w:val="003C5C01"/>
    <w:rsid w:val="003C7E44"/>
    <w:rsid w:val="003D0058"/>
    <w:rsid w:val="003D034D"/>
    <w:rsid w:val="003D1982"/>
    <w:rsid w:val="003D259C"/>
    <w:rsid w:val="003E1EC8"/>
    <w:rsid w:val="003E22F8"/>
    <w:rsid w:val="003E330C"/>
    <w:rsid w:val="003E39F6"/>
    <w:rsid w:val="003E3DA9"/>
    <w:rsid w:val="003E3FD5"/>
    <w:rsid w:val="003E5384"/>
    <w:rsid w:val="003E55B3"/>
    <w:rsid w:val="003E6589"/>
    <w:rsid w:val="003E69C0"/>
    <w:rsid w:val="003F07F0"/>
    <w:rsid w:val="003F2101"/>
    <w:rsid w:val="003F3AC5"/>
    <w:rsid w:val="003F5106"/>
    <w:rsid w:val="003F6FE5"/>
    <w:rsid w:val="003F74E8"/>
    <w:rsid w:val="003F765A"/>
    <w:rsid w:val="004014DD"/>
    <w:rsid w:val="00402DBA"/>
    <w:rsid w:val="0040328A"/>
    <w:rsid w:val="00405027"/>
    <w:rsid w:val="00405A83"/>
    <w:rsid w:val="0040686C"/>
    <w:rsid w:val="00407E99"/>
    <w:rsid w:val="004115E8"/>
    <w:rsid w:val="00411620"/>
    <w:rsid w:val="00411B9D"/>
    <w:rsid w:val="0041419D"/>
    <w:rsid w:val="004147E3"/>
    <w:rsid w:val="00420F81"/>
    <w:rsid w:val="00421068"/>
    <w:rsid w:val="004239E2"/>
    <w:rsid w:val="00424480"/>
    <w:rsid w:val="00427898"/>
    <w:rsid w:val="004306E8"/>
    <w:rsid w:val="00430901"/>
    <w:rsid w:val="00432468"/>
    <w:rsid w:val="004334C8"/>
    <w:rsid w:val="00434CB3"/>
    <w:rsid w:val="00434D05"/>
    <w:rsid w:val="00434F04"/>
    <w:rsid w:val="004368EC"/>
    <w:rsid w:val="00436E9A"/>
    <w:rsid w:val="0044320F"/>
    <w:rsid w:val="00444482"/>
    <w:rsid w:val="0044459F"/>
    <w:rsid w:val="00444EA3"/>
    <w:rsid w:val="004454C0"/>
    <w:rsid w:val="004459E2"/>
    <w:rsid w:val="00450E33"/>
    <w:rsid w:val="00451000"/>
    <w:rsid w:val="004534D8"/>
    <w:rsid w:val="004550E8"/>
    <w:rsid w:val="00460E61"/>
    <w:rsid w:val="004615E0"/>
    <w:rsid w:val="004617C2"/>
    <w:rsid w:val="004646DE"/>
    <w:rsid w:val="00465357"/>
    <w:rsid w:val="0046541C"/>
    <w:rsid w:val="004729A4"/>
    <w:rsid w:val="0047400F"/>
    <w:rsid w:val="0047546B"/>
    <w:rsid w:val="004764A2"/>
    <w:rsid w:val="004772A7"/>
    <w:rsid w:val="00480254"/>
    <w:rsid w:val="004826C9"/>
    <w:rsid w:val="00485F60"/>
    <w:rsid w:val="00486018"/>
    <w:rsid w:val="0048667B"/>
    <w:rsid w:val="00487B14"/>
    <w:rsid w:val="004900DE"/>
    <w:rsid w:val="004910A3"/>
    <w:rsid w:val="0049148D"/>
    <w:rsid w:val="0049176E"/>
    <w:rsid w:val="00492738"/>
    <w:rsid w:val="00492C85"/>
    <w:rsid w:val="00493427"/>
    <w:rsid w:val="00494CE4"/>
    <w:rsid w:val="00495027"/>
    <w:rsid w:val="00495AB9"/>
    <w:rsid w:val="00496BCF"/>
    <w:rsid w:val="00497BDF"/>
    <w:rsid w:val="004A0DE4"/>
    <w:rsid w:val="004A5AF0"/>
    <w:rsid w:val="004A5B7A"/>
    <w:rsid w:val="004A6393"/>
    <w:rsid w:val="004A73E4"/>
    <w:rsid w:val="004B0525"/>
    <w:rsid w:val="004B16D0"/>
    <w:rsid w:val="004B47A5"/>
    <w:rsid w:val="004B4EE1"/>
    <w:rsid w:val="004B6D7A"/>
    <w:rsid w:val="004B7062"/>
    <w:rsid w:val="004B71AF"/>
    <w:rsid w:val="004C3765"/>
    <w:rsid w:val="004C3C4B"/>
    <w:rsid w:val="004C4874"/>
    <w:rsid w:val="004C50EB"/>
    <w:rsid w:val="004C5215"/>
    <w:rsid w:val="004C627F"/>
    <w:rsid w:val="004D12A9"/>
    <w:rsid w:val="004D15C2"/>
    <w:rsid w:val="004D17A7"/>
    <w:rsid w:val="004D5F54"/>
    <w:rsid w:val="004E2048"/>
    <w:rsid w:val="004E4734"/>
    <w:rsid w:val="004E4E01"/>
    <w:rsid w:val="004E5334"/>
    <w:rsid w:val="004E6EF2"/>
    <w:rsid w:val="004F14E0"/>
    <w:rsid w:val="004F1DDE"/>
    <w:rsid w:val="004F202E"/>
    <w:rsid w:val="004F3CAA"/>
    <w:rsid w:val="004F4CEF"/>
    <w:rsid w:val="004F556E"/>
    <w:rsid w:val="004F5CFB"/>
    <w:rsid w:val="004F6B81"/>
    <w:rsid w:val="004F7F86"/>
    <w:rsid w:val="00500198"/>
    <w:rsid w:val="00501034"/>
    <w:rsid w:val="00501177"/>
    <w:rsid w:val="00501978"/>
    <w:rsid w:val="00501E33"/>
    <w:rsid w:val="00505483"/>
    <w:rsid w:val="00506F91"/>
    <w:rsid w:val="00511A1F"/>
    <w:rsid w:val="005120FC"/>
    <w:rsid w:val="00512A0F"/>
    <w:rsid w:val="00516FE0"/>
    <w:rsid w:val="00524804"/>
    <w:rsid w:val="00526121"/>
    <w:rsid w:val="005268FB"/>
    <w:rsid w:val="00527510"/>
    <w:rsid w:val="00530AA3"/>
    <w:rsid w:val="00531AC0"/>
    <w:rsid w:val="00531B86"/>
    <w:rsid w:val="00533705"/>
    <w:rsid w:val="00534FF6"/>
    <w:rsid w:val="00536559"/>
    <w:rsid w:val="00544B29"/>
    <w:rsid w:val="0054678E"/>
    <w:rsid w:val="00546D23"/>
    <w:rsid w:val="00552F6D"/>
    <w:rsid w:val="00555069"/>
    <w:rsid w:val="00562ADD"/>
    <w:rsid w:val="00563550"/>
    <w:rsid w:val="00563A7E"/>
    <w:rsid w:val="00563C45"/>
    <w:rsid w:val="00564238"/>
    <w:rsid w:val="00565808"/>
    <w:rsid w:val="005660C1"/>
    <w:rsid w:val="00571106"/>
    <w:rsid w:val="00571281"/>
    <w:rsid w:val="00572361"/>
    <w:rsid w:val="005764B3"/>
    <w:rsid w:val="00577648"/>
    <w:rsid w:val="005829C4"/>
    <w:rsid w:val="00590C12"/>
    <w:rsid w:val="0059129F"/>
    <w:rsid w:val="005978FF"/>
    <w:rsid w:val="005A32BE"/>
    <w:rsid w:val="005A3559"/>
    <w:rsid w:val="005A39F0"/>
    <w:rsid w:val="005A5607"/>
    <w:rsid w:val="005A59EF"/>
    <w:rsid w:val="005B0840"/>
    <w:rsid w:val="005B17FE"/>
    <w:rsid w:val="005B3870"/>
    <w:rsid w:val="005B4436"/>
    <w:rsid w:val="005B4FC5"/>
    <w:rsid w:val="005B5FF0"/>
    <w:rsid w:val="005B69E7"/>
    <w:rsid w:val="005C23B4"/>
    <w:rsid w:val="005C2C03"/>
    <w:rsid w:val="005C350B"/>
    <w:rsid w:val="005C3856"/>
    <w:rsid w:val="005C3EFA"/>
    <w:rsid w:val="005C6143"/>
    <w:rsid w:val="005C6914"/>
    <w:rsid w:val="005D01CA"/>
    <w:rsid w:val="005D106E"/>
    <w:rsid w:val="005D2324"/>
    <w:rsid w:val="005D35D9"/>
    <w:rsid w:val="005D5C01"/>
    <w:rsid w:val="005D69DA"/>
    <w:rsid w:val="005D76A7"/>
    <w:rsid w:val="005D7E90"/>
    <w:rsid w:val="005E0159"/>
    <w:rsid w:val="005E0758"/>
    <w:rsid w:val="005E16E2"/>
    <w:rsid w:val="005E1816"/>
    <w:rsid w:val="005E2058"/>
    <w:rsid w:val="005E2E7D"/>
    <w:rsid w:val="005E351A"/>
    <w:rsid w:val="005E730F"/>
    <w:rsid w:val="005F1552"/>
    <w:rsid w:val="005F18E2"/>
    <w:rsid w:val="005F1B70"/>
    <w:rsid w:val="005F4C3A"/>
    <w:rsid w:val="00600988"/>
    <w:rsid w:val="00602521"/>
    <w:rsid w:val="006029D5"/>
    <w:rsid w:val="00604059"/>
    <w:rsid w:val="00605006"/>
    <w:rsid w:val="006064D1"/>
    <w:rsid w:val="0060655D"/>
    <w:rsid w:val="00610826"/>
    <w:rsid w:val="00611AD3"/>
    <w:rsid w:val="00611CBA"/>
    <w:rsid w:val="00612680"/>
    <w:rsid w:val="00616DAE"/>
    <w:rsid w:val="006207AF"/>
    <w:rsid w:val="0062238C"/>
    <w:rsid w:val="00622829"/>
    <w:rsid w:val="006244EA"/>
    <w:rsid w:val="00627BDC"/>
    <w:rsid w:val="006304A2"/>
    <w:rsid w:val="00630895"/>
    <w:rsid w:val="00633EFC"/>
    <w:rsid w:val="00636C31"/>
    <w:rsid w:val="0064043B"/>
    <w:rsid w:val="0064045F"/>
    <w:rsid w:val="0064225E"/>
    <w:rsid w:val="00642AF4"/>
    <w:rsid w:val="006476D3"/>
    <w:rsid w:val="0064786A"/>
    <w:rsid w:val="00650D30"/>
    <w:rsid w:val="00650FCF"/>
    <w:rsid w:val="00651ADF"/>
    <w:rsid w:val="00652A2F"/>
    <w:rsid w:val="00652D2E"/>
    <w:rsid w:val="0065368A"/>
    <w:rsid w:val="00653FF7"/>
    <w:rsid w:val="006562FF"/>
    <w:rsid w:val="006566FB"/>
    <w:rsid w:val="00657C2A"/>
    <w:rsid w:val="00662A93"/>
    <w:rsid w:val="00664071"/>
    <w:rsid w:val="006652B6"/>
    <w:rsid w:val="0066690D"/>
    <w:rsid w:val="00672D67"/>
    <w:rsid w:val="00673A28"/>
    <w:rsid w:val="00673AC6"/>
    <w:rsid w:val="006772F7"/>
    <w:rsid w:val="0067766A"/>
    <w:rsid w:val="00680F30"/>
    <w:rsid w:val="006833DB"/>
    <w:rsid w:val="006911D7"/>
    <w:rsid w:val="00691F5F"/>
    <w:rsid w:val="00692C2D"/>
    <w:rsid w:val="006933EA"/>
    <w:rsid w:val="0069633E"/>
    <w:rsid w:val="00696ED4"/>
    <w:rsid w:val="006978B6"/>
    <w:rsid w:val="006A0DF0"/>
    <w:rsid w:val="006A1592"/>
    <w:rsid w:val="006A1FD8"/>
    <w:rsid w:val="006A2266"/>
    <w:rsid w:val="006A2433"/>
    <w:rsid w:val="006A3154"/>
    <w:rsid w:val="006A3949"/>
    <w:rsid w:val="006A3C0C"/>
    <w:rsid w:val="006A3F77"/>
    <w:rsid w:val="006B0567"/>
    <w:rsid w:val="006B166B"/>
    <w:rsid w:val="006B2AF9"/>
    <w:rsid w:val="006B5397"/>
    <w:rsid w:val="006B6ADD"/>
    <w:rsid w:val="006C01EE"/>
    <w:rsid w:val="006C1028"/>
    <w:rsid w:val="006C16DD"/>
    <w:rsid w:val="006C3A23"/>
    <w:rsid w:val="006C49FB"/>
    <w:rsid w:val="006C5D3F"/>
    <w:rsid w:val="006C6210"/>
    <w:rsid w:val="006C6666"/>
    <w:rsid w:val="006D0EFD"/>
    <w:rsid w:val="006D1049"/>
    <w:rsid w:val="006D2F6D"/>
    <w:rsid w:val="006D693B"/>
    <w:rsid w:val="006D7BB0"/>
    <w:rsid w:val="006D7E97"/>
    <w:rsid w:val="006E1322"/>
    <w:rsid w:val="006E18BA"/>
    <w:rsid w:val="006E1DB7"/>
    <w:rsid w:val="006E4D4B"/>
    <w:rsid w:val="006E55C4"/>
    <w:rsid w:val="006E714F"/>
    <w:rsid w:val="006F050C"/>
    <w:rsid w:val="006F31EB"/>
    <w:rsid w:val="006F5A96"/>
    <w:rsid w:val="006F7207"/>
    <w:rsid w:val="007022B3"/>
    <w:rsid w:val="00702843"/>
    <w:rsid w:val="00702DFD"/>
    <w:rsid w:val="007035F5"/>
    <w:rsid w:val="00705182"/>
    <w:rsid w:val="00705EE2"/>
    <w:rsid w:val="00706258"/>
    <w:rsid w:val="00710166"/>
    <w:rsid w:val="00710F21"/>
    <w:rsid w:val="00712F86"/>
    <w:rsid w:val="00720009"/>
    <w:rsid w:val="007246E8"/>
    <w:rsid w:val="007270CD"/>
    <w:rsid w:val="007321E7"/>
    <w:rsid w:val="007348BA"/>
    <w:rsid w:val="007366C8"/>
    <w:rsid w:val="00736AD7"/>
    <w:rsid w:val="00736E39"/>
    <w:rsid w:val="0074249F"/>
    <w:rsid w:val="00746CD9"/>
    <w:rsid w:val="00752501"/>
    <w:rsid w:val="00756273"/>
    <w:rsid w:val="00756A74"/>
    <w:rsid w:val="00757AC1"/>
    <w:rsid w:val="00760352"/>
    <w:rsid w:val="0076055F"/>
    <w:rsid w:val="00760896"/>
    <w:rsid w:val="00762F49"/>
    <w:rsid w:val="007648C3"/>
    <w:rsid w:val="00770CDF"/>
    <w:rsid w:val="00770F5C"/>
    <w:rsid w:val="00772595"/>
    <w:rsid w:val="00772C08"/>
    <w:rsid w:val="00772F2E"/>
    <w:rsid w:val="00773A96"/>
    <w:rsid w:val="00773F1E"/>
    <w:rsid w:val="00774E0C"/>
    <w:rsid w:val="00781ADA"/>
    <w:rsid w:val="00784236"/>
    <w:rsid w:val="00784F2A"/>
    <w:rsid w:val="007859E9"/>
    <w:rsid w:val="0078606A"/>
    <w:rsid w:val="00787521"/>
    <w:rsid w:val="00787F07"/>
    <w:rsid w:val="00790456"/>
    <w:rsid w:val="00790471"/>
    <w:rsid w:val="007931A9"/>
    <w:rsid w:val="007934DE"/>
    <w:rsid w:val="007936A2"/>
    <w:rsid w:val="00794A99"/>
    <w:rsid w:val="0079569A"/>
    <w:rsid w:val="007A0AF1"/>
    <w:rsid w:val="007A2448"/>
    <w:rsid w:val="007A2D72"/>
    <w:rsid w:val="007A49F9"/>
    <w:rsid w:val="007A59E4"/>
    <w:rsid w:val="007A63C7"/>
    <w:rsid w:val="007A7F18"/>
    <w:rsid w:val="007B5BB8"/>
    <w:rsid w:val="007B6AB4"/>
    <w:rsid w:val="007C0B1F"/>
    <w:rsid w:val="007C22D0"/>
    <w:rsid w:val="007C281A"/>
    <w:rsid w:val="007C4348"/>
    <w:rsid w:val="007C4F3F"/>
    <w:rsid w:val="007C69EF"/>
    <w:rsid w:val="007C6DCA"/>
    <w:rsid w:val="007C7332"/>
    <w:rsid w:val="007C7C7A"/>
    <w:rsid w:val="007D2838"/>
    <w:rsid w:val="007D2BEB"/>
    <w:rsid w:val="007D4428"/>
    <w:rsid w:val="007E214E"/>
    <w:rsid w:val="007E2770"/>
    <w:rsid w:val="007E3234"/>
    <w:rsid w:val="007E3C5B"/>
    <w:rsid w:val="007E56CF"/>
    <w:rsid w:val="007E70A4"/>
    <w:rsid w:val="007E7AE0"/>
    <w:rsid w:val="007F0345"/>
    <w:rsid w:val="007F0F34"/>
    <w:rsid w:val="007F1423"/>
    <w:rsid w:val="007F4D6F"/>
    <w:rsid w:val="007F59EC"/>
    <w:rsid w:val="00800450"/>
    <w:rsid w:val="00801191"/>
    <w:rsid w:val="00801340"/>
    <w:rsid w:val="008013A2"/>
    <w:rsid w:val="00803CAC"/>
    <w:rsid w:val="0080433F"/>
    <w:rsid w:val="00805B64"/>
    <w:rsid w:val="00805D71"/>
    <w:rsid w:val="00806623"/>
    <w:rsid w:val="0081090E"/>
    <w:rsid w:val="00810963"/>
    <w:rsid w:val="008109B0"/>
    <w:rsid w:val="0081104E"/>
    <w:rsid w:val="00811882"/>
    <w:rsid w:val="00814FE1"/>
    <w:rsid w:val="0081765A"/>
    <w:rsid w:val="00817E72"/>
    <w:rsid w:val="00820E44"/>
    <w:rsid w:val="008212A3"/>
    <w:rsid w:val="00827DBB"/>
    <w:rsid w:val="00833575"/>
    <w:rsid w:val="00833C38"/>
    <w:rsid w:val="00836D0D"/>
    <w:rsid w:val="008436AC"/>
    <w:rsid w:val="0084546E"/>
    <w:rsid w:val="008456C5"/>
    <w:rsid w:val="0084721A"/>
    <w:rsid w:val="00847481"/>
    <w:rsid w:val="008474A8"/>
    <w:rsid w:val="00853E2C"/>
    <w:rsid w:val="00854439"/>
    <w:rsid w:val="0085519E"/>
    <w:rsid w:val="00855947"/>
    <w:rsid w:val="00856CAD"/>
    <w:rsid w:val="00857324"/>
    <w:rsid w:val="00857661"/>
    <w:rsid w:val="008578D6"/>
    <w:rsid w:val="00861F66"/>
    <w:rsid w:val="008637DC"/>
    <w:rsid w:val="0086397F"/>
    <w:rsid w:val="008660EA"/>
    <w:rsid w:val="00870204"/>
    <w:rsid w:val="008704F4"/>
    <w:rsid w:val="00871859"/>
    <w:rsid w:val="00871CD9"/>
    <w:rsid w:val="00872D91"/>
    <w:rsid w:val="00873F3E"/>
    <w:rsid w:val="008746D0"/>
    <w:rsid w:val="00875B86"/>
    <w:rsid w:val="00877758"/>
    <w:rsid w:val="008822F3"/>
    <w:rsid w:val="0088365A"/>
    <w:rsid w:val="00883D9F"/>
    <w:rsid w:val="00890064"/>
    <w:rsid w:val="00894FC6"/>
    <w:rsid w:val="00895026"/>
    <w:rsid w:val="008951BE"/>
    <w:rsid w:val="00895E25"/>
    <w:rsid w:val="008A0246"/>
    <w:rsid w:val="008A0A03"/>
    <w:rsid w:val="008A391C"/>
    <w:rsid w:val="008A64E0"/>
    <w:rsid w:val="008A700F"/>
    <w:rsid w:val="008B0280"/>
    <w:rsid w:val="008B79DF"/>
    <w:rsid w:val="008C0918"/>
    <w:rsid w:val="008C5836"/>
    <w:rsid w:val="008C61D7"/>
    <w:rsid w:val="008C6378"/>
    <w:rsid w:val="008C6E10"/>
    <w:rsid w:val="008C736D"/>
    <w:rsid w:val="008D0670"/>
    <w:rsid w:val="008D0750"/>
    <w:rsid w:val="008D1CEB"/>
    <w:rsid w:val="008D2053"/>
    <w:rsid w:val="008D45D1"/>
    <w:rsid w:val="008D6545"/>
    <w:rsid w:val="008D6EF0"/>
    <w:rsid w:val="008E0FBB"/>
    <w:rsid w:val="008E38A8"/>
    <w:rsid w:val="008E5CB5"/>
    <w:rsid w:val="008F006C"/>
    <w:rsid w:val="008F3366"/>
    <w:rsid w:val="008F6097"/>
    <w:rsid w:val="009028E5"/>
    <w:rsid w:val="00902AB3"/>
    <w:rsid w:val="00905595"/>
    <w:rsid w:val="00905E2D"/>
    <w:rsid w:val="009063B8"/>
    <w:rsid w:val="00910ABF"/>
    <w:rsid w:val="00911849"/>
    <w:rsid w:val="009137F1"/>
    <w:rsid w:val="00913828"/>
    <w:rsid w:val="009150FC"/>
    <w:rsid w:val="00917BF7"/>
    <w:rsid w:val="009210E3"/>
    <w:rsid w:val="00921142"/>
    <w:rsid w:val="00921350"/>
    <w:rsid w:val="0092472F"/>
    <w:rsid w:val="00924DE7"/>
    <w:rsid w:val="00925691"/>
    <w:rsid w:val="00926DAB"/>
    <w:rsid w:val="00932601"/>
    <w:rsid w:val="009403A9"/>
    <w:rsid w:val="00941AA8"/>
    <w:rsid w:val="00941D0D"/>
    <w:rsid w:val="009434B5"/>
    <w:rsid w:val="00943C27"/>
    <w:rsid w:val="0095078A"/>
    <w:rsid w:val="00950E98"/>
    <w:rsid w:val="00952354"/>
    <w:rsid w:val="009524C6"/>
    <w:rsid w:val="00953CE9"/>
    <w:rsid w:val="00954820"/>
    <w:rsid w:val="00960AE5"/>
    <w:rsid w:val="00962600"/>
    <w:rsid w:val="00962E5A"/>
    <w:rsid w:val="0096470C"/>
    <w:rsid w:val="009647FC"/>
    <w:rsid w:val="009669DD"/>
    <w:rsid w:val="00967CC2"/>
    <w:rsid w:val="009730F2"/>
    <w:rsid w:val="009741B5"/>
    <w:rsid w:val="00975894"/>
    <w:rsid w:val="009767DE"/>
    <w:rsid w:val="00976A36"/>
    <w:rsid w:val="00980C00"/>
    <w:rsid w:val="0098311E"/>
    <w:rsid w:val="0098348F"/>
    <w:rsid w:val="009842E9"/>
    <w:rsid w:val="0098452D"/>
    <w:rsid w:val="00985376"/>
    <w:rsid w:val="00985701"/>
    <w:rsid w:val="00986379"/>
    <w:rsid w:val="0099070E"/>
    <w:rsid w:val="00994F5C"/>
    <w:rsid w:val="0099597E"/>
    <w:rsid w:val="00995A55"/>
    <w:rsid w:val="00996BDC"/>
    <w:rsid w:val="00997579"/>
    <w:rsid w:val="009A15BF"/>
    <w:rsid w:val="009A1AF4"/>
    <w:rsid w:val="009A1B1B"/>
    <w:rsid w:val="009A36E2"/>
    <w:rsid w:val="009A5327"/>
    <w:rsid w:val="009B0502"/>
    <w:rsid w:val="009B1B58"/>
    <w:rsid w:val="009B7C04"/>
    <w:rsid w:val="009C1640"/>
    <w:rsid w:val="009C33C4"/>
    <w:rsid w:val="009C37A1"/>
    <w:rsid w:val="009C42DD"/>
    <w:rsid w:val="009C4882"/>
    <w:rsid w:val="009C59AF"/>
    <w:rsid w:val="009C5C53"/>
    <w:rsid w:val="009C70DE"/>
    <w:rsid w:val="009D1F23"/>
    <w:rsid w:val="009D3AC3"/>
    <w:rsid w:val="009D4761"/>
    <w:rsid w:val="009D4FA3"/>
    <w:rsid w:val="009D5118"/>
    <w:rsid w:val="009D6664"/>
    <w:rsid w:val="009D6685"/>
    <w:rsid w:val="009E0143"/>
    <w:rsid w:val="009E1569"/>
    <w:rsid w:val="009E25D3"/>
    <w:rsid w:val="009E28E1"/>
    <w:rsid w:val="009E5739"/>
    <w:rsid w:val="009E5B1A"/>
    <w:rsid w:val="009E7E29"/>
    <w:rsid w:val="009F158B"/>
    <w:rsid w:val="009F2408"/>
    <w:rsid w:val="009F4CD3"/>
    <w:rsid w:val="009F7301"/>
    <w:rsid w:val="009F7B56"/>
    <w:rsid w:val="00A00B3B"/>
    <w:rsid w:val="00A033E0"/>
    <w:rsid w:val="00A04BF9"/>
    <w:rsid w:val="00A068D0"/>
    <w:rsid w:val="00A10115"/>
    <w:rsid w:val="00A15798"/>
    <w:rsid w:val="00A16D17"/>
    <w:rsid w:val="00A17904"/>
    <w:rsid w:val="00A21DF4"/>
    <w:rsid w:val="00A2272D"/>
    <w:rsid w:val="00A243CD"/>
    <w:rsid w:val="00A25720"/>
    <w:rsid w:val="00A26F09"/>
    <w:rsid w:val="00A32BB1"/>
    <w:rsid w:val="00A32C64"/>
    <w:rsid w:val="00A35DC2"/>
    <w:rsid w:val="00A36AA6"/>
    <w:rsid w:val="00A37A22"/>
    <w:rsid w:val="00A40ABE"/>
    <w:rsid w:val="00A46B32"/>
    <w:rsid w:val="00A47683"/>
    <w:rsid w:val="00A50790"/>
    <w:rsid w:val="00A514D3"/>
    <w:rsid w:val="00A530CD"/>
    <w:rsid w:val="00A54B88"/>
    <w:rsid w:val="00A54CE8"/>
    <w:rsid w:val="00A560AE"/>
    <w:rsid w:val="00A56EEB"/>
    <w:rsid w:val="00A57138"/>
    <w:rsid w:val="00A57CC5"/>
    <w:rsid w:val="00A60B31"/>
    <w:rsid w:val="00A637C9"/>
    <w:rsid w:val="00A64291"/>
    <w:rsid w:val="00A64974"/>
    <w:rsid w:val="00A7402E"/>
    <w:rsid w:val="00A744CD"/>
    <w:rsid w:val="00A7585C"/>
    <w:rsid w:val="00A76C27"/>
    <w:rsid w:val="00A81B5D"/>
    <w:rsid w:val="00A81B65"/>
    <w:rsid w:val="00A81F25"/>
    <w:rsid w:val="00A82DE7"/>
    <w:rsid w:val="00A8587D"/>
    <w:rsid w:val="00A85B3B"/>
    <w:rsid w:val="00A86F76"/>
    <w:rsid w:val="00A8726A"/>
    <w:rsid w:val="00A90DEF"/>
    <w:rsid w:val="00A915B7"/>
    <w:rsid w:val="00A91C93"/>
    <w:rsid w:val="00A92524"/>
    <w:rsid w:val="00A94413"/>
    <w:rsid w:val="00A94536"/>
    <w:rsid w:val="00A96CD4"/>
    <w:rsid w:val="00AA105D"/>
    <w:rsid w:val="00AA22A7"/>
    <w:rsid w:val="00AA290C"/>
    <w:rsid w:val="00AA362D"/>
    <w:rsid w:val="00AA4A44"/>
    <w:rsid w:val="00AA4EC8"/>
    <w:rsid w:val="00AA5548"/>
    <w:rsid w:val="00AA6729"/>
    <w:rsid w:val="00AB0632"/>
    <w:rsid w:val="00AB6983"/>
    <w:rsid w:val="00AC024E"/>
    <w:rsid w:val="00AC15F6"/>
    <w:rsid w:val="00AC249A"/>
    <w:rsid w:val="00AC2A2A"/>
    <w:rsid w:val="00AC3DFC"/>
    <w:rsid w:val="00AC6B6F"/>
    <w:rsid w:val="00AC7E3C"/>
    <w:rsid w:val="00AC7E3F"/>
    <w:rsid w:val="00AD1788"/>
    <w:rsid w:val="00AD2873"/>
    <w:rsid w:val="00AD2F6E"/>
    <w:rsid w:val="00AD40C4"/>
    <w:rsid w:val="00AD5F30"/>
    <w:rsid w:val="00AE2EAF"/>
    <w:rsid w:val="00AE346C"/>
    <w:rsid w:val="00AE4447"/>
    <w:rsid w:val="00AE468E"/>
    <w:rsid w:val="00AE4C56"/>
    <w:rsid w:val="00AF2078"/>
    <w:rsid w:val="00AF34DD"/>
    <w:rsid w:val="00AF4BF6"/>
    <w:rsid w:val="00AF5B23"/>
    <w:rsid w:val="00AF6DB6"/>
    <w:rsid w:val="00AF7514"/>
    <w:rsid w:val="00B00017"/>
    <w:rsid w:val="00B01FF5"/>
    <w:rsid w:val="00B03280"/>
    <w:rsid w:val="00B05B98"/>
    <w:rsid w:val="00B07EE3"/>
    <w:rsid w:val="00B117D1"/>
    <w:rsid w:val="00B13155"/>
    <w:rsid w:val="00B13324"/>
    <w:rsid w:val="00B13F8C"/>
    <w:rsid w:val="00B14312"/>
    <w:rsid w:val="00B1508A"/>
    <w:rsid w:val="00B15B39"/>
    <w:rsid w:val="00B17C0F"/>
    <w:rsid w:val="00B2210D"/>
    <w:rsid w:val="00B22B57"/>
    <w:rsid w:val="00B23D43"/>
    <w:rsid w:val="00B25D1A"/>
    <w:rsid w:val="00B26D29"/>
    <w:rsid w:val="00B3006C"/>
    <w:rsid w:val="00B311A0"/>
    <w:rsid w:val="00B31D0B"/>
    <w:rsid w:val="00B31DAD"/>
    <w:rsid w:val="00B36A18"/>
    <w:rsid w:val="00B36ABD"/>
    <w:rsid w:val="00B36E78"/>
    <w:rsid w:val="00B37D67"/>
    <w:rsid w:val="00B42FA8"/>
    <w:rsid w:val="00B44B61"/>
    <w:rsid w:val="00B47AF4"/>
    <w:rsid w:val="00B50929"/>
    <w:rsid w:val="00B550FD"/>
    <w:rsid w:val="00B608F5"/>
    <w:rsid w:val="00B61257"/>
    <w:rsid w:val="00B61E89"/>
    <w:rsid w:val="00B61E9A"/>
    <w:rsid w:val="00B62E39"/>
    <w:rsid w:val="00B63834"/>
    <w:rsid w:val="00B656ED"/>
    <w:rsid w:val="00B65CA5"/>
    <w:rsid w:val="00B71540"/>
    <w:rsid w:val="00B7281D"/>
    <w:rsid w:val="00B755B1"/>
    <w:rsid w:val="00B767FE"/>
    <w:rsid w:val="00B83572"/>
    <w:rsid w:val="00B85940"/>
    <w:rsid w:val="00B9033F"/>
    <w:rsid w:val="00B91C82"/>
    <w:rsid w:val="00B93784"/>
    <w:rsid w:val="00B938D7"/>
    <w:rsid w:val="00B93AB0"/>
    <w:rsid w:val="00BA1C9C"/>
    <w:rsid w:val="00BA384E"/>
    <w:rsid w:val="00BA4358"/>
    <w:rsid w:val="00BA4913"/>
    <w:rsid w:val="00BA4EDC"/>
    <w:rsid w:val="00BB52F0"/>
    <w:rsid w:val="00BB7325"/>
    <w:rsid w:val="00BC02FF"/>
    <w:rsid w:val="00BC181A"/>
    <w:rsid w:val="00BC1EC5"/>
    <w:rsid w:val="00BC2000"/>
    <w:rsid w:val="00BC20A8"/>
    <w:rsid w:val="00BC325A"/>
    <w:rsid w:val="00BC3A7D"/>
    <w:rsid w:val="00BD2C1B"/>
    <w:rsid w:val="00BD3896"/>
    <w:rsid w:val="00BD701C"/>
    <w:rsid w:val="00BE0164"/>
    <w:rsid w:val="00BE27DF"/>
    <w:rsid w:val="00BE2836"/>
    <w:rsid w:val="00BE2FDD"/>
    <w:rsid w:val="00BE526D"/>
    <w:rsid w:val="00BE7A55"/>
    <w:rsid w:val="00BF1E33"/>
    <w:rsid w:val="00BF1F3E"/>
    <w:rsid w:val="00BF4D23"/>
    <w:rsid w:val="00C01412"/>
    <w:rsid w:val="00C01E6C"/>
    <w:rsid w:val="00C02CE4"/>
    <w:rsid w:val="00C035BD"/>
    <w:rsid w:val="00C10C5F"/>
    <w:rsid w:val="00C12A05"/>
    <w:rsid w:val="00C175DA"/>
    <w:rsid w:val="00C20A9E"/>
    <w:rsid w:val="00C22305"/>
    <w:rsid w:val="00C23F49"/>
    <w:rsid w:val="00C30AF7"/>
    <w:rsid w:val="00C30DF7"/>
    <w:rsid w:val="00C312D4"/>
    <w:rsid w:val="00C31F29"/>
    <w:rsid w:val="00C338B4"/>
    <w:rsid w:val="00C34CDC"/>
    <w:rsid w:val="00C35209"/>
    <w:rsid w:val="00C37F83"/>
    <w:rsid w:val="00C43988"/>
    <w:rsid w:val="00C461CD"/>
    <w:rsid w:val="00C461D1"/>
    <w:rsid w:val="00C4712B"/>
    <w:rsid w:val="00C52C79"/>
    <w:rsid w:val="00C536D2"/>
    <w:rsid w:val="00C54471"/>
    <w:rsid w:val="00C544C1"/>
    <w:rsid w:val="00C551D1"/>
    <w:rsid w:val="00C558A0"/>
    <w:rsid w:val="00C6003E"/>
    <w:rsid w:val="00C61806"/>
    <w:rsid w:val="00C63BB0"/>
    <w:rsid w:val="00C6436B"/>
    <w:rsid w:val="00C65A1D"/>
    <w:rsid w:val="00C67CA7"/>
    <w:rsid w:val="00C67ECC"/>
    <w:rsid w:val="00C71355"/>
    <w:rsid w:val="00C722CE"/>
    <w:rsid w:val="00C72621"/>
    <w:rsid w:val="00C74B1E"/>
    <w:rsid w:val="00C75B11"/>
    <w:rsid w:val="00C762AB"/>
    <w:rsid w:val="00C76404"/>
    <w:rsid w:val="00C77166"/>
    <w:rsid w:val="00C8476C"/>
    <w:rsid w:val="00C85694"/>
    <w:rsid w:val="00C86BD0"/>
    <w:rsid w:val="00C91085"/>
    <w:rsid w:val="00C91F70"/>
    <w:rsid w:val="00C930E5"/>
    <w:rsid w:val="00C968E3"/>
    <w:rsid w:val="00CA0B63"/>
    <w:rsid w:val="00CA197F"/>
    <w:rsid w:val="00CA2371"/>
    <w:rsid w:val="00CA248F"/>
    <w:rsid w:val="00CA4573"/>
    <w:rsid w:val="00CA5123"/>
    <w:rsid w:val="00CA5181"/>
    <w:rsid w:val="00CA5D1A"/>
    <w:rsid w:val="00CB1399"/>
    <w:rsid w:val="00CB38C8"/>
    <w:rsid w:val="00CB5018"/>
    <w:rsid w:val="00CB54D6"/>
    <w:rsid w:val="00CB5A69"/>
    <w:rsid w:val="00CB7D53"/>
    <w:rsid w:val="00CC2C07"/>
    <w:rsid w:val="00CC3134"/>
    <w:rsid w:val="00CC3904"/>
    <w:rsid w:val="00CC77C8"/>
    <w:rsid w:val="00CD05C3"/>
    <w:rsid w:val="00CD30AD"/>
    <w:rsid w:val="00CD3A70"/>
    <w:rsid w:val="00CD4354"/>
    <w:rsid w:val="00CD61F1"/>
    <w:rsid w:val="00CD6416"/>
    <w:rsid w:val="00CE06CB"/>
    <w:rsid w:val="00CE0E9C"/>
    <w:rsid w:val="00CE0F17"/>
    <w:rsid w:val="00CE26AA"/>
    <w:rsid w:val="00CE2904"/>
    <w:rsid w:val="00CE4FBC"/>
    <w:rsid w:val="00CE5B44"/>
    <w:rsid w:val="00CE6320"/>
    <w:rsid w:val="00CE645F"/>
    <w:rsid w:val="00CE6A8D"/>
    <w:rsid w:val="00CF1C1C"/>
    <w:rsid w:val="00CF1F7F"/>
    <w:rsid w:val="00CF3626"/>
    <w:rsid w:val="00CF5B43"/>
    <w:rsid w:val="00D01467"/>
    <w:rsid w:val="00D01CDA"/>
    <w:rsid w:val="00D075F0"/>
    <w:rsid w:val="00D13149"/>
    <w:rsid w:val="00D1336A"/>
    <w:rsid w:val="00D1405E"/>
    <w:rsid w:val="00D169D5"/>
    <w:rsid w:val="00D16C62"/>
    <w:rsid w:val="00D174D4"/>
    <w:rsid w:val="00D23034"/>
    <w:rsid w:val="00D27535"/>
    <w:rsid w:val="00D3333B"/>
    <w:rsid w:val="00D343D2"/>
    <w:rsid w:val="00D34C5F"/>
    <w:rsid w:val="00D359BD"/>
    <w:rsid w:val="00D373FE"/>
    <w:rsid w:val="00D41AD2"/>
    <w:rsid w:val="00D4250A"/>
    <w:rsid w:val="00D425A0"/>
    <w:rsid w:val="00D42AD8"/>
    <w:rsid w:val="00D437CF"/>
    <w:rsid w:val="00D45CA1"/>
    <w:rsid w:val="00D45CE6"/>
    <w:rsid w:val="00D460D4"/>
    <w:rsid w:val="00D47195"/>
    <w:rsid w:val="00D478AE"/>
    <w:rsid w:val="00D478C7"/>
    <w:rsid w:val="00D50CAA"/>
    <w:rsid w:val="00D5181E"/>
    <w:rsid w:val="00D557AC"/>
    <w:rsid w:val="00D57B96"/>
    <w:rsid w:val="00D611C5"/>
    <w:rsid w:val="00D61EF7"/>
    <w:rsid w:val="00D64276"/>
    <w:rsid w:val="00D660DA"/>
    <w:rsid w:val="00D66463"/>
    <w:rsid w:val="00D66FD4"/>
    <w:rsid w:val="00D670D5"/>
    <w:rsid w:val="00D6776B"/>
    <w:rsid w:val="00D71242"/>
    <w:rsid w:val="00D715BD"/>
    <w:rsid w:val="00D726D5"/>
    <w:rsid w:val="00D7277E"/>
    <w:rsid w:val="00D73BF6"/>
    <w:rsid w:val="00D740BC"/>
    <w:rsid w:val="00D75689"/>
    <w:rsid w:val="00D760B3"/>
    <w:rsid w:val="00D763DF"/>
    <w:rsid w:val="00D81A89"/>
    <w:rsid w:val="00D823DB"/>
    <w:rsid w:val="00D869F9"/>
    <w:rsid w:val="00D87A76"/>
    <w:rsid w:val="00D905E2"/>
    <w:rsid w:val="00D90CD5"/>
    <w:rsid w:val="00D924F6"/>
    <w:rsid w:val="00D94202"/>
    <w:rsid w:val="00D947F2"/>
    <w:rsid w:val="00D96C4C"/>
    <w:rsid w:val="00DA0014"/>
    <w:rsid w:val="00DA004C"/>
    <w:rsid w:val="00DA0E39"/>
    <w:rsid w:val="00DA2D14"/>
    <w:rsid w:val="00DA486B"/>
    <w:rsid w:val="00DA5975"/>
    <w:rsid w:val="00DA62B7"/>
    <w:rsid w:val="00DA69EA"/>
    <w:rsid w:val="00DA7D18"/>
    <w:rsid w:val="00DB012B"/>
    <w:rsid w:val="00DB02D1"/>
    <w:rsid w:val="00DB0A9A"/>
    <w:rsid w:val="00DB2B42"/>
    <w:rsid w:val="00DB49DA"/>
    <w:rsid w:val="00DB4B23"/>
    <w:rsid w:val="00DC2475"/>
    <w:rsid w:val="00DC4CFF"/>
    <w:rsid w:val="00DC61FD"/>
    <w:rsid w:val="00DC78F9"/>
    <w:rsid w:val="00DC7E69"/>
    <w:rsid w:val="00DD0842"/>
    <w:rsid w:val="00DD3609"/>
    <w:rsid w:val="00DD7605"/>
    <w:rsid w:val="00DE0B5D"/>
    <w:rsid w:val="00DE0E36"/>
    <w:rsid w:val="00DE5F08"/>
    <w:rsid w:val="00DE6816"/>
    <w:rsid w:val="00DE6EEC"/>
    <w:rsid w:val="00DF079C"/>
    <w:rsid w:val="00DF14DC"/>
    <w:rsid w:val="00DF276A"/>
    <w:rsid w:val="00DF40AF"/>
    <w:rsid w:val="00DF4DA5"/>
    <w:rsid w:val="00E00020"/>
    <w:rsid w:val="00E00BD5"/>
    <w:rsid w:val="00E01800"/>
    <w:rsid w:val="00E04248"/>
    <w:rsid w:val="00E05097"/>
    <w:rsid w:val="00E05AC1"/>
    <w:rsid w:val="00E06C3D"/>
    <w:rsid w:val="00E10C21"/>
    <w:rsid w:val="00E1287F"/>
    <w:rsid w:val="00E131E2"/>
    <w:rsid w:val="00E165B9"/>
    <w:rsid w:val="00E172BE"/>
    <w:rsid w:val="00E17DC5"/>
    <w:rsid w:val="00E17E45"/>
    <w:rsid w:val="00E22008"/>
    <w:rsid w:val="00E25282"/>
    <w:rsid w:val="00E2529A"/>
    <w:rsid w:val="00E253BF"/>
    <w:rsid w:val="00E2588E"/>
    <w:rsid w:val="00E25AB0"/>
    <w:rsid w:val="00E3062F"/>
    <w:rsid w:val="00E30DD2"/>
    <w:rsid w:val="00E314DE"/>
    <w:rsid w:val="00E33798"/>
    <w:rsid w:val="00E344E8"/>
    <w:rsid w:val="00E34548"/>
    <w:rsid w:val="00E37B3E"/>
    <w:rsid w:val="00E37F1F"/>
    <w:rsid w:val="00E40ACA"/>
    <w:rsid w:val="00E41B17"/>
    <w:rsid w:val="00E426A6"/>
    <w:rsid w:val="00E453AC"/>
    <w:rsid w:val="00E45A76"/>
    <w:rsid w:val="00E46036"/>
    <w:rsid w:val="00E462B0"/>
    <w:rsid w:val="00E46334"/>
    <w:rsid w:val="00E51FB0"/>
    <w:rsid w:val="00E52825"/>
    <w:rsid w:val="00E53012"/>
    <w:rsid w:val="00E56F7B"/>
    <w:rsid w:val="00E57363"/>
    <w:rsid w:val="00E57AA3"/>
    <w:rsid w:val="00E57BCF"/>
    <w:rsid w:val="00E6354A"/>
    <w:rsid w:val="00E664AF"/>
    <w:rsid w:val="00E70283"/>
    <w:rsid w:val="00E71EF5"/>
    <w:rsid w:val="00E72A05"/>
    <w:rsid w:val="00E738C4"/>
    <w:rsid w:val="00E73D65"/>
    <w:rsid w:val="00E74326"/>
    <w:rsid w:val="00E74806"/>
    <w:rsid w:val="00E7741F"/>
    <w:rsid w:val="00E8016B"/>
    <w:rsid w:val="00E816B1"/>
    <w:rsid w:val="00E9070D"/>
    <w:rsid w:val="00E910C0"/>
    <w:rsid w:val="00E930C1"/>
    <w:rsid w:val="00E953C1"/>
    <w:rsid w:val="00E95C3A"/>
    <w:rsid w:val="00E95D67"/>
    <w:rsid w:val="00E96D99"/>
    <w:rsid w:val="00E97E8A"/>
    <w:rsid w:val="00EA0232"/>
    <w:rsid w:val="00EA0C87"/>
    <w:rsid w:val="00EA2E94"/>
    <w:rsid w:val="00EB1CB1"/>
    <w:rsid w:val="00EB425C"/>
    <w:rsid w:val="00EB6FB7"/>
    <w:rsid w:val="00EB71D1"/>
    <w:rsid w:val="00EC2E07"/>
    <w:rsid w:val="00EC2F31"/>
    <w:rsid w:val="00EC393A"/>
    <w:rsid w:val="00EC492B"/>
    <w:rsid w:val="00EC7C6C"/>
    <w:rsid w:val="00EC7EFE"/>
    <w:rsid w:val="00ED0145"/>
    <w:rsid w:val="00ED0CFC"/>
    <w:rsid w:val="00ED14AC"/>
    <w:rsid w:val="00ED4842"/>
    <w:rsid w:val="00ED4B39"/>
    <w:rsid w:val="00ED4D2C"/>
    <w:rsid w:val="00ED4FD4"/>
    <w:rsid w:val="00ED7C8A"/>
    <w:rsid w:val="00EE028D"/>
    <w:rsid w:val="00EE14CB"/>
    <w:rsid w:val="00EE279D"/>
    <w:rsid w:val="00EE34FE"/>
    <w:rsid w:val="00EE420D"/>
    <w:rsid w:val="00EE6E0C"/>
    <w:rsid w:val="00EF3187"/>
    <w:rsid w:val="00EF5271"/>
    <w:rsid w:val="00F062E2"/>
    <w:rsid w:val="00F06E8B"/>
    <w:rsid w:val="00F07312"/>
    <w:rsid w:val="00F1090C"/>
    <w:rsid w:val="00F1096E"/>
    <w:rsid w:val="00F10A1C"/>
    <w:rsid w:val="00F122B3"/>
    <w:rsid w:val="00F13365"/>
    <w:rsid w:val="00F13C0B"/>
    <w:rsid w:val="00F140EE"/>
    <w:rsid w:val="00F157B5"/>
    <w:rsid w:val="00F165DA"/>
    <w:rsid w:val="00F20444"/>
    <w:rsid w:val="00F22B0C"/>
    <w:rsid w:val="00F231B3"/>
    <w:rsid w:val="00F23D71"/>
    <w:rsid w:val="00F25F49"/>
    <w:rsid w:val="00F335BE"/>
    <w:rsid w:val="00F34C9F"/>
    <w:rsid w:val="00F40661"/>
    <w:rsid w:val="00F40AA8"/>
    <w:rsid w:val="00F42779"/>
    <w:rsid w:val="00F4488A"/>
    <w:rsid w:val="00F50AE4"/>
    <w:rsid w:val="00F50CF2"/>
    <w:rsid w:val="00F50E0E"/>
    <w:rsid w:val="00F516AA"/>
    <w:rsid w:val="00F518E0"/>
    <w:rsid w:val="00F531E0"/>
    <w:rsid w:val="00F56194"/>
    <w:rsid w:val="00F56FA5"/>
    <w:rsid w:val="00F57A64"/>
    <w:rsid w:val="00F61680"/>
    <w:rsid w:val="00F6228C"/>
    <w:rsid w:val="00F6246C"/>
    <w:rsid w:val="00F64063"/>
    <w:rsid w:val="00F6588D"/>
    <w:rsid w:val="00F6689C"/>
    <w:rsid w:val="00F67449"/>
    <w:rsid w:val="00F67F02"/>
    <w:rsid w:val="00F701ED"/>
    <w:rsid w:val="00F70B0A"/>
    <w:rsid w:val="00F720F7"/>
    <w:rsid w:val="00F725C4"/>
    <w:rsid w:val="00F7295C"/>
    <w:rsid w:val="00F72CD7"/>
    <w:rsid w:val="00F73A37"/>
    <w:rsid w:val="00F770C0"/>
    <w:rsid w:val="00F777F7"/>
    <w:rsid w:val="00F81915"/>
    <w:rsid w:val="00F81BD9"/>
    <w:rsid w:val="00F8260B"/>
    <w:rsid w:val="00F832F4"/>
    <w:rsid w:val="00F83553"/>
    <w:rsid w:val="00F841B9"/>
    <w:rsid w:val="00F84432"/>
    <w:rsid w:val="00F85BA9"/>
    <w:rsid w:val="00F86275"/>
    <w:rsid w:val="00F865F2"/>
    <w:rsid w:val="00F9097D"/>
    <w:rsid w:val="00F91002"/>
    <w:rsid w:val="00F91D06"/>
    <w:rsid w:val="00F92BBD"/>
    <w:rsid w:val="00F93D1C"/>
    <w:rsid w:val="00F93D29"/>
    <w:rsid w:val="00F969B8"/>
    <w:rsid w:val="00F96BE1"/>
    <w:rsid w:val="00F9789C"/>
    <w:rsid w:val="00FA01DC"/>
    <w:rsid w:val="00FA0926"/>
    <w:rsid w:val="00FA1F10"/>
    <w:rsid w:val="00FA2503"/>
    <w:rsid w:val="00FA50C2"/>
    <w:rsid w:val="00FA58E3"/>
    <w:rsid w:val="00FB1ADE"/>
    <w:rsid w:val="00FB3304"/>
    <w:rsid w:val="00FB3CAE"/>
    <w:rsid w:val="00FB53E1"/>
    <w:rsid w:val="00FB64D0"/>
    <w:rsid w:val="00FB735B"/>
    <w:rsid w:val="00FC1383"/>
    <w:rsid w:val="00FC1912"/>
    <w:rsid w:val="00FC1DBB"/>
    <w:rsid w:val="00FC2734"/>
    <w:rsid w:val="00FC730F"/>
    <w:rsid w:val="00FC7D03"/>
    <w:rsid w:val="00FD0A3A"/>
    <w:rsid w:val="00FD0E92"/>
    <w:rsid w:val="00FD18C9"/>
    <w:rsid w:val="00FD21DC"/>
    <w:rsid w:val="00FD4AF9"/>
    <w:rsid w:val="00FD6B7D"/>
    <w:rsid w:val="00FD70C7"/>
    <w:rsid w:val="00FD7EE3"/>
    <w:rsid w:val="00FE031D"/>
    <w:rsid w:val="00FE0952"/>
    <w:rsid w:val="00FE28DF"/>
    <w:rsid w:val="00FE61AD"/>
    <w:rsid w:val="00FE6624"/>
    <w:rsid w:val="00FE7E1E"/>
    <w:rsid w:val="00FF62A2"/>
    <w:rsid w:val="00FF7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519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1983"/>
    <w:pPr>
      <w:spacing w:before="60" w:after="60"/>
      <w:jc w:val="both"/>
    </w:pPr>
    <w:rPr>
      <w:rFonts w:ascii="Arial" w:hAnsi="Arial"/>
    </w:rPr>
  </w:style>
  <w:style w:type="paragraph" w:styleId="Heading1">
    <w:name w:val="heading 1"/>
    <w:basedOn w:val="Normal"/>
    <w:next w:val="Normal"/>
    <w:qFormat/>
    <w:rsid w:val="001C1331"/>
    <w:pPr>
      <w:keepNext/>
      <w:spacing w:before="240"/>
      <w:outlineLvl w:val="0"/>
    </w:pPr>
    <w:rPr>
      <w:b/>
      <w:sz w:val="24"/>
    </w:rPr>
  </w:style>
  <w:style w:type="paragraph" w:styleId="Heading2">
    <w:name w:val="heading 2"/>
    <w:basedOn w:val="Normal"/>
    <w:next w:val="Normal"/>
    <w:link w:val="Heading2Char"/>
    <w:qFormat/>
    <w:rsid w:val="002F3706"/>
    <w:pPr>
      <w:outlineLvl w:val="1"/>
    </w:pPr>
    <w:rPr>
      <w:b/>
      <w:bCs/>
    </w:rPr>
  </w:style>
  <w:style w:type="paragraph" w:styleId="Heading3">
    <w:name w:val="heading 3"/>
    <w:basedOn w:val="Normal"/>
    <w:next w:val="Normal"/>
    <w:qFormat/>
    <w:rsid w:val="002F3706"/>
    <w:pPr>
      <w:outlineLvl w:val="2"/>
    </w:pPr>
    <w:rPr>
      <w:b/>
      <w:bCs/>
    </w:rPr>
  </w:style>
  <w:style w:type="paragraph" w:styleId="Heading4">
    <w:name w:val="heading 4"/>
    <w:basedOn w:val="Normal"/>
    <w:next w:val="Normal"/>
    <w:link w:val="Heading4Char"/>
    <w:qFormat/>
    <w:rsid w:val="002F3706"/>
    <w:pPr>
      <w:outlineLvl w:val="3"/>
    </w:pPr>
    <w:rPr>
      <w:b/>
      <w:bCs/>
    </w:rPr>
  </w:style>
  <w:style w:type="paragraph" w:styleId="Heading5">
    <w:name w:val="heading 5"/>
    <w:basedOn w:val="Normal"/>
    <w:next w:val="Normal"/>
    <w:qFormat/>
    <w:rsid w:val="002F3706"/>
    <w:pPr>
      <w:outlineLvl w:val="4"/>
    </w:pPr>
    <w:rPr>
      <w:b/>
      <w:bCs/>
      <w:iCs/>
      <w:szCs w:val="26"/>
    </w:rPr>
  </w:style>
  <w:style w:type="paragraph" w:styleId="Heading6">
    <w:name w:val="heading 6"/>
    <w:basedOn w:val="Normal"/>
    <w:next w:val="Normal"/>
    <w:link w:val="Heading6Char"/>
    <w:qFormat/>
    <w:rsid w:val="002F3706"/>
    <w:pPr>
      <w:outlineLvl w:val="5"/>
    </w:pPr>
    <w:rPr>
      <w:b/>
    </w:rPr>
  </w:style>
  <w:style w:type="paragraph" w:styleId="Heading7">
    <w:name w:val="heading 7"/>
    <w:basedOn w:val="Normal"/>
    <w:next w:val="Normal"/>
    <w:qFormat/>
    <w:rsid w:val="00506F91"/>
    <w:pPr>
      <w:outlineLvl w:val="6"/>
    </w:pPr>
    <w:rPr>
      <w:b/>
    </w:rPr>
  </w:style>
  <w:style w:type="paragraph" w:styleId="Heading8">
    <w:name w:val="heading 8"/>
    <w:basedOn w:val="Normal"/>
    <w:next w:val="Normal"/>
    <w:qFormat/>
    <w:rsid w:val="00506F91"/>
    <w:pPr>
      <w:outlineLvl w:val="7"/>
    </w:pPr>
    <w:rPr>
      <w:b/>
    </w:rPr>
  </w:style>
  <w:style w:type="paragraph" w:styleId="Heading9">
    <w:name w:val="heading 9"/>
    <w:basedOn w:val="Normal"/>
    <w:next w:val="Normal"/>
    <w:qFormat/>
    <w:rsid w:val="00506F91"/>
    <w:pP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F3706"/>
    <w:pPr>
      <w:tabs>
        <w:tab w:val="center" w:pos="4320"/>
        <w:tab w:val="right" w:pos="8640"/>
      </w:tabs>
    </w:pPr>
  </w:style>
  <w:style w:type="character" w:customStyle="1" w:styleId="text">
    <w:name w:val="text"/>
    <w:basedOn w:val="DefaultParagraphFont"/>
    <w:rsid w:val="002F3706"/>
    <w:rPr>
      <w:rFonts w:ascii="Arial" w:hAnsi="Arial"/>
      <w:dstrike w:val="0"/>
      <w:color w:val="auto"/>
      <w:sz w:val="20"/>
      <w:bdr w:val="none" w:sz="0" w:space="0" w:color="auto"/>
      <w:vertAlign w:val="baseline"/>
    </w:rPr>
  </w:style>
  <w:style w:type="paragraph" w:styleId="BodyText">
    <w:name w:val="Body Text"/>
    <w:basedOn w:val="Normal"/>
    <w:rsid w:val="002F3706"/>
    <w:rPr>
      <w:b/>
      <w:sz w:val="28"/>
    </w:rPr>
  </w:style>
  <w:style w:type="paragraph" w:customStyle="1" w:styleId="Bullet">
    <w:name w:val="Bullet"/>
    <w:basedOn w:val="Normal"/>
    <w:link w:val="BulletChar"/>
    <w:rsid w:val="005E2E7D"/>
    <w:pPr>
      <w:numPr>
        <w:numId w:val="3"/>
      </w:numPr>
      <w:tabs>
        <w:tab w:val="clear" w:pos="360"/>
      </w:tabs>
      <w:ind w:left="360" w:hanging="360"/>
    </w:pPr>
  </w:style>
  <w:style w:type="character" w:customStyle="1" w:styleId="Head2">
    <w:name w:val="Head 2"/>
    <w:basedOn w:val="DefaultParagraphFont"/>
    <w:rsid w:val="002F3706"/>
    <w:rPr>
      <w:rFonts w:ascii="Arial" w:hAnsi="Arial"/>
      <w:bCs/>
      <w:dstrike w:val="0"/>
      <w:sz w:val="20"/>
      <w:vertAlign w:val="baseline"/>
    </w:rPr>
  </w:style>
  <w:style w:type="paragraph" w:styleId="BodyTextIndent">
    <w:name w:val="Body Text Indent"/>
    <w:basedOn w:val="Normal"/>
    <w:autoRedefine/>
    <w:rsid w:val="002F3706"/>
    <w:pPr>
      <w:numPr>
        <w:numId w:val="1"/>
      </w:numPr>
      <w:spacing w:after="120"/>
      <w:jc w:val="left"/>
    </w:pPr>
    <w:rPr>
      <w:rFonts w:ascii="Times New Roman" w:hAnsi="Times New Roman"/>
      <w:sz w:val="24"/>
    </w:rPr>
  </w:style>
  <w:style w:type="paragraph" w:styleId="CommentText">
    <w:name w:val="annotation text"/>
    <w:basedOn w:val="Normal"/>
    <w:link w:val="CommentTextChar"/>
    <w:autoRedefine/>
    <w:semiHidden/>
    <w:rsid w:val="002F3706"/>
    <w:pPr>
      <w:numPr>
        <w:numId w:val="2"/>
      </w:numPr>
      <w:tabs>
        <w:tab w:val="clear" w:pos="360"/>
        <w:tab w:val="num" w:pos="0"/>
      </w:tabs>
      <w:ind w:left="0" w:firstLine="0"/>
    </w:pPr>
  </w:style>
  <w:style w:type="paragraph" w:styleId="NormalIndent">
    <w:name w:val="Normal Indent"/>
    <w:basedOn w:val="Normal"/>
    <w:rsid w:val="002F3706"/>
    <w:pPr>
      <w:ind w:left="720"/>
    </w:pPr>
  </w:style>
  <w:style w:type="paragraph" w:styleId="Header">
    <w:name w:val="header"/>
    <w:basedOn w:val="Normal"/>
    <w:link w:val="HeaderChar"/>
    <w:rsid w:val="002F3706"/>
    <w:pPr>
      <w:tabs>
        <w:tab w:val="center" w:pos="4320"/>
        <w:tab w:val="right" w:pos="8640"/>
      </w:tabs>
    </w:pPr>
    <w:rPr>
      <w:b/>
      <w:sz w:val="28"/>
    </w:rPr>
  </w:style>
  <w:style w:type="character" w:styleId="PageNumber">
    <w:name w:val="page number"/>
    <w:basedOn w:val="DefaultParagraphFont"/>
    <w:rsid w:val="007348BA"/>
  </w:style>
  <w:style w:type="paragraph" w:customStyle="1" w:styleId="HeadingAppendix">
    <w:name w:val="Heading Appendix"/>
    <w:basedOn w:val="Heading1"/>
    <w:next w:val="Normal"/>
    <w:rsid w:val="007348BA"/>
  </w:style>
  <w:style w:type="paragraph" w:customStyle="1" w:styleId="HeadingDeviation">
    <w:name w:val="Heading Deviation"/>
    <w:basedOn w:val="HeadingAppendix"/>
    <w:next w:val="Normal"/>
    <w:rsid w:val="007348BA"/>
  </w:style>
  <w:style w:type="paragraph" w:customStyle="1" w:styleId="TitleStandard">
    <w:name w:val="Title Standard"/>
    <w:basedOn w:val="Title"/>
    <w:rsid w:val="007348BA"/>
    <w:pPr>
      <w:suppressAutoHyphens/>
      <w:spacing w:before="60"/>
    </w:pPr>
    <w:rPr>
      <w:sz w:val="28"/>
    </w:rPr>
  </w:style>
  <w:style w:type="table" w:styleId="TableGrid">
    <w:name w:val="Table Grid"/>
    <w:basedOn w:val="TableNormal"/>
    <w:uiPriority w:val="39"/>
    <w:rsid w:val="007348BA"/>
    <w:pPr>
      <w:spacing w:before="60"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basedOn w:val="Normal"/>
    <w:next w:val="Normal"/>
    <w:rsid w:val="007348BA"/>
    <w:pPr>
      <w:keepNext/>
      <w:jc w:val="center"/>
    </w:pPr>
    <w:rPr>
      <w:b/>
    </w:rPr>
  </w:style>
  <w:style w:type="paragraph" w:customStyle="1" w:styleId="FigureTitle">
    <w:name w:val="Figure Title"/>
    <w:basedOn w:val="Normal"/>
    <w:rsid w:val="007348BA"/>
    <w:pPr>
      <w:jc w:val="center"/>
    </w:pPr>
    <w:rPr>
      <w:b/>
    </w:rPr>
  </w:style>
  <w:style w:type="paragraph" w:customStyle="1" w:styleId="TableNote">
    <w:name w:val="TableNote"/>
    <w:basedOn w:val="Normal"/>
    <w:rsid w:val="007348BA"/>
    <w:pPr>
      <w:contextualSpacing/>
    </w:pPr>
    <w:rPr>
      <w:sz w:val="16"/>
    </w:rPr>
  </w:style>
  <w:style w:type="paragraph" w:styleId="ListNumber">
    <w:name w:val="List Number"/>
    <w:basedOn w:val="Normal"/>
    <w:rsid w:val="007348BA"/>
    <w:pPr>
      <w:numPr>
        <w:numId w:val="4"/>
      </w:numPr>
    </w:pPr>
  </w:style>
  <w:style w:type="paragraph" w:styleId="ListNumber2">
    <w:name w:val="List Number 2"/>
    <w:basedOn w:val="Normal"/>
    <w:rsid w:val="007348BA"/>
    <w:pPr>
      <w:numPr>
        <w:numId w:val="5"/>
      </w:numPr>
    </w:pPr>
  </w:style>
  <w:style w:type="paragraph" w:styleId="Title">
    <w:name w:val="Title"/>
    <w:basedOn w:val="Normal"/>
    <w:link w:val="TitleChar"/>
    <w:qFormat/>
    <w:rsid w:val="007348BA"/>
    <w:pPr>
      <w:spacing w:before="240"/>
      <w:jc w:val="center"/>
      <w:outlineLvl w:val="0"/>
    </w:pPr>
    <w:rPr>
      <w:rFonts w:cs="Arial"/>
      <w:b/>
      <w:bCs/>
      <w:kern w:val="28"/>
      <w:sz w:val="32"/>
      <w:szCs w:val="32"/>
    </w:rPr>
  </w:style>
  <w:style w:type="paragraph" w:customStyle="1" w:styleId="StyleBulletBold">
    <w:name w:val="Style Bullet + Bold"/>
    <w:basedOn w:val="Bullet"/>
    <w:link w:val="StyleBulletBoldChar"/>
    <w:rsid w:val="00D075F0"/>
    <w:rPr>
      <w:b/>
      <w:bCs/>
    </w:rPr>
  </w:style>
  <w:style w:type="character" w:customStyle="1" w:styleId="BulletChar">
    <w:name w:val="Bullet Char"/>
    <w:basedOn w:val="DefaultParagraphFont"/>
    <w:link w:val="Bullet"/>
    <w:rsid w:val="00D075F0"/>
    <w:rPr>
      <w:rFonts w:ascii="Arial" w:hAnsi="Arial"/>
    </w:rPr>
  </w:style>
  <w:style w:type="character" w:customStyle="1" w:styleId="StyleBulletBoldChar">
    <w:name w:val="Style Bullet + Bold Char"/>
    <w:basedOn w:val="BulletChar"/>
    <w:link w:val="StyleBulletBold"/>
    <w:rsid w:val="00D075F0"/>
    <w:rPr>
      <w:rFonts w:ascii="Arial" w:hAnsi="Arial"/>
      <w:b/>
      <w:bCs/>
    </w:rPr>
  </w:style>
  <w:style w:type="paragraph" w:styleId="BalloonText">
    <w:name w:val="Balloon Text"/>
    <w:basedOn w:val="Normal"/>
    <w:semiHidden/>
    <w:rsid w:val="00B42FA8"/>
    <w:rPr>
      <w:rFonts w:ascii="Tahoma" w:hAnsi="Tahoma" w:cs="Tahoma"/>
      <w:sz w:val="16"/>
      <w:szCs w:val="16"/>
    </w:rPr>
  </w:style>
  <w:style w:type="paragraph" w:customStyle="1" w:styleId="Header-Standard">
    <w:name w:val="Header - Standard"/>
    <w:basedOn w:val="Header"/>
    <w:qFormat/>
    <w:rsid w:val="00AF7514"/>
    <w:pPr>
      <w:jc w:val="center"/>
    </w:pPr>
    <w:rPr>
      <w:bCs/>
      <w:sz w:val="24"/>
      <w:szCs w:val="24"/>
    </w:rPr>
  </w:style>
  <w:style w:type="paragraph" w:styleId="NormalWeb">
    <w:name w:val="Normal (Web)"/>
    <w:basedOn w:val="Normal"/>
    <w:uiPriority w:val="99"/>
    <w:semiHidden/>
    <w:unhideWhenUsed/>
    <w:rsid w:val="00B71540"/>
    <w:pPr>
      <w:spacing w:before="100" w:beforeAutospacing="1" w:after="100" w:afterAutospacing="1"/>
      <w:jc w:val="left"/>
    </w:pPr>
    <w:rPr>
      <w:rFonts w:ascii="Times New Roman" w:eastAsiaTheme="minorEastAsia" w:hAnsi="Times New Roman"/>
      <w:sz w:val="24"/>
      <w:szCs w:val="24"/>
    </w:rPr>
  </w:style>
  <w:style w:type="character" w:styleId="Hyperlink">
    <w:name w:val="Hyperlink"/>
    <w:basedOn w:val="DefaultParagraphFont"/>
    <w:unhideWhenUsed/>
    <w:rsid w:val="005829C4"/>
    <w:rPr>
      <w:color w:val="0000FF" w:themeColor="hyperlink"/>
      <w:u w:val="single"/>
    </w:rPr>
  </w:style>
  <w:style w:type="paragraph" w:styleId="ListParagraph">
    <w:name w:val="List Paragraph"/>
    <w:basedOn w:val="Normal"/>
    <w:uiPriority w:val="34"/>
    <w:qFormat/>
    <w:rsid w:val="00FD7EE3"/>
    <w:pPr>
      <w:ind w:left="720"/>
      <w:contextualSpacing/>
    </w:pPr>
  </w:style>
  <w:style w:type="table" w:customStyle="1" w:styleId="TableGrid1">
    <w:name w:val="Table Grid1"/>
    <w:basedOn w:val="TableNormal"/>
    <w:next w:val="TableGrid"/>
    <w:rsid w:val="005D23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652D2E"/>
    <w:rPr>
      <w:rFonts w:ascii="Arial" w:hAnsi="Arial"/>
      <w:b/>
      <w:sz w:val="28"/>
    </w:rPr>
  </w:style>
  <w:style w:type="character" w:styleId="CommentReference">
    <w:name w:val="annotation reference"/>
    <w:basedOn w:val="DefaultParagraphFont"/>
    <w:semiHidden/>
    <w:unhideWhenUsed/>
    <w:rsid w:val="0074249F"/>
    <w:rPr>
      <w:sz w:val="16"/>
      <w:szCs w:val="16"/>
    </w:rPr>
  </w:style>
  <w:style w:type="paragraph" w:styleId="CommentSubject">
    <w:name w:val="annotation subject"/>
    <w:basedOn w:val="CommentText"/>
    <w:next w:val="CommentText"/>
    <w:link w:val="CommentSubjectChar"/>
    <w:semiHidden/>
    <w:unhideWhenUsed/>
    <w:rsid w:val="0074249F"/>
    <w:pPr>
      <w:numPr>
        <w:numId w:val="0"/>
      </w:numPr>
    </w:pPr>
    <w:rPr>
      <w:b/>
      <w:bCs/>
    </w:rPr>
  </w:style>
  <w:style w:type="character" w:customStyle="1" w:styleId="CommentTextChar">
    <w:name w:val="Comment Text Char"/>
    <w:basedOn w:val="DefaultParagraphFont"/>
    <w:link w:val="CommentText"/>
    <w:semiHidden/>
    <w:rsid w:val="0074249F"/>
    <w:rPr>
      <w:rFonts w:ascii="Arial" w:hAnsi="Arial"/>
    </w:rPr>
  </w:style>
  <w:style w:type="character" w:customStyle="1" w:styleId="CommentSubjectChar">
    <w:name w:val="Comment Subject Char"/>
    <w:basedOn w:val="CommentTextChar"/>
    <w:link w:val="CommentSubject"/>
    <w:semiHidden/>
    <w:rsid w:val="0074249F"/>
    <w:rPr>
      <w:rFonts w:ascii="Arial" w:hAnsi="Arial"/>
      <w:b/>
      <w:bCs/>
    </w:rPr>
  </w:style>
  <w:style w:type="table" w:customStyle="1" w:styleId="TableGrid2">
    <w:name w:val="Table Grid2"/>
    <w:basedOn w:val="TableNormal"/>
    <w:next w:val="TableGrid"/>
    <w:rsid w:val="00E72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D5181E"/>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D5181E"/>
    <w:rPr>
      <w:rFonts w:asciiTheme="minorHAnsi" w:eastAsiaTheme="minorEastAsia" w:hAnsiTheme="minorHAnsi" w:cstheme="minorBidi"/>
      <w:sz w:val="22"/>
      <w:szCs w:val="22"/>
      <w:lang w:eastAsia="ja-JP"/>
    </w:rPr>
  </w:style>
  <w:style w:type="character" w:customStyle="1" w:styleId="FooterChar">
    <w:name w:val="Footer Char"/>
    <w:basedOn w:val="DefaultParagraphFont"/>
    <w:link w:val="Footer"/>
    <w:uiPriority w:val="99"/>
    <w:rsid w:val="00C02CE4"/>
    <w:rPr>
      <w:rFonts w:ascii="Arial" w:hAnsi="Arial"/>
    </w:rPr>
  </w:style>
  <w:style w:type="character" w:styleId="Emphasis">
    <w:name w:val="Emphasis"/>
    <w:basedOn w:val="DefaultParagraphFont"/>
    <w:qFormat/>
    <w:rsid w:val="00501034"/>
    <w:rPr>
      <w:i/>
      <w:iCs/>
    </w:rPr>
  </w:style>
  <w:style w:type="paragraph" w:customStyle="1" w:styleId="BulletList1">
    <w:name w:val="Bullet List 1"/>
    <w:basedOn w:val="Normal"/>
    <w:rsid w:val="00EC7C6C"/>
    <w:pPr>
      <w:spacing w:before="20" w:after="0"/>
      <w:jc w:val="left"/>
    </w:pPr>
  </w:style>
  <w:style w:type="paragraph" w:styleId="BodyText2">
    <w:name w:val="Body Text 2"/>
    <w:basedOn w:val="Normal"/>
    <w:link w:val="BodyText2Char"/>
    <w:unhideWhenUsed/>
    <w:rsid w:val="00D66463"/>
    <w:pPr>
      <w:spacing w:after="120" w:line="480" w:lineRule="auto"/>
    </w:pPr>
  </w:style>
  <w:style w:type="character" w:customStyle="1" w:styleId="BodyText2Char">
    <w:name w:val="Body Text 2 Char"/>
    <w:basedOn w:val="DefaultParagraphFont"/>
    <w:link w:val="BodyText2"/>
    <w:rsid w:val="00D66463"/>
    <w:rPr>
      <w:rFonts w:ascii="Arial" w:hAnsi="Arial"/>
    </w:rPr>
  </w:style>
  <w:style w:type="paragraph" w:styleId="BodyTextIndent3">
    <w:name w:val="Body Text Indent 3"/>
    <w:basedOn w:val="Normal"/>
    <w:link w:val="BodyTextIndent3Char"/>
    <w:rsid w:val="00D66463"/>
    <w:pPr>
      <w:spacing w:before="0" w:after="120"/>
      <w:ind w:left="360"/>
      <w:jc w:val="left"/>
    </w:pPr>
    <w:rPr>
      <w:rFonts w:ascii="Times New Roman" w:hAnsi="Times New Roman"/>
      <w:sz w:val="16"/>
      <w:szCs w:val="16"/>
    </w:rPr>
  </w:style>
  <w:style w:type="character" w:customStyle="1" w:styleId="BodyTextIndent3Char">
    <w:name w:val="Body Text Indent 3 Char"/>
    <w:basedOn w:val="DefaultParagraphFont"/>
    <w:link w:val="BodyTextIndent3"/>
    <w:rsid w:val="00D66463"/>
    <w:rPr>
      <w:sz w:val="16"/>
      <w:szCs w:val="16"/>
    </w:rPr>
  </w:style>
  <w:style w:type="character" w:customStyle="1" w:styleId="Heading2Char">
    <w:name w:val="Heading 2 Char"/>
    <w:basedOn w:val="DefaultParagraphFont"/>
    <w:link w:val="Heading2"/>
    <w:rsid w:val="004C3C4B"/>
    <w:rPr>
      <w:rFonts w:ascii="Arial" w:hAnsi="Arial"/>
      <w:b/>
      <w:bCs/>
    </w:rPr>
  </w:style>
  <w:style w:type="character" w:customStyle="1" w:styleId="Heading4Char">
    <w:name w:val="Heading 4 Char"/>
    <w:basedOn w:val="DefaultParagraphFont"/>
    <w:link w:val="Heading4"/>
    <w:rsid w:val="004C3C4B"/>
    <w:rPr>
      <w:rFonts w:ascii="Arial" w:hAnsi="Arial"/>
      <w:b/>
      <w:bCs/>
    </w:rPr>
  </w:style>
  <w:style w:type="character" w:customStyle="1" w:styleId="Heading6Char">
    <w:name w:val="Heading 6 Char"/>
    <w:basedOn w:val="DefaultParagraphFont"/>
    <w:link w:val="Heading6"/>
    <w:rsid w:val="004C3C4B"/>
    <w:rPr>
      <w:rFonts w:ascii="Arial" w:hAnsi="Arial"/>
      <w:b/>
    </w:rPr>
  </w:style>
  <w:style w:type="character" w:customStyle="1" w:styleId="TitleChar">
    <w:name w:val="Title Char"/>
    <w:basedOn w:val="DefaultParagraphFont"/>
    <w:link w:val="Title"/>
    <w:rsid w:val="004C3C4B"/>
    <w:rPr>
      <w:rFonts w:ascii="Arial" w:hAnsi="Arial" w:cs="Arial"/>
      <w:b/>
      <w:bCs/>
      <w:kern w:val="28"/>
      <w:sz w:val="32"/>
      <w:szCs w:val="32"/>
    </w:rPr>
  </w:style>
  <w:style w:type="paragraph" w:customStyle="1" w:styleId="TableParagraph">
    <w:name w:val="Table Paragraph"/>
    <w:basedOn w:val="Normal"/>
    <w:uiPriority w:val="1"/>
    <w:qFormat/>
    <w:rsid w:val="00B01FF5"/>
    <w:pPr>
      <w:widowControl w:val="0"/>
      <w:spacing w:before="0" w:after="0"/>
      <w:jc w:val="left"/>
    </w:pPr>
    <w:rPr>
      <w:rFonts w:asciiTheme="minorHAnsi" w:eastAsiaTheme="minorHAnsi" w:hAnsiTheme="minorHAnsi" w:cstheme="minorBidi"/>
      <w:sz w:val="22"/>
      <w:szCs w:val="22"/>
    </w:rPr>
  </w:style>
  <w:style w:type="paragraph" w:customStyle="1" w:styleId="Default">
    <w:name w:val="Default"/>
    <w:rsid w:val="001230D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182425">
      <w:bodyDiv w:val="1"/>
      <w:marLeft w:val="0"/>
      <w:marRight w:val="0"/>
      <w:marTop w:val="0"/>
      <w:marBottom w:val="0"/>
      <w:divBdr>
        <w:top w:val="none" w:sz="0" w:space="0" w:color="auto"/>
        <w:left w:val="none" w:sz="0" w:space="0" w:color="auto"/>
        <w:bottom w:val="none" w:sz="0" w:space="0" w:color="auto"/>
        <w:right w:val="none" w:sz="0" w:space="0" w:color="auto"/>
      </w:divBdr>
    </w:div>
    <w:div w:id="364907847">
      <w:bodyDiv w:val="1"/>
      <w:marLeft w:val="0"/>
      <w:marRight w:val="0"/>
      <w:marTop w:val="0"/>
      <w:marBottom w:val="0"/>
      <w:divBdr>
        <w:top w:val="none" w:sz="0" w:space="0" w:color="auto"/>
        <w:left w:val="none" w:sz="0" w:space="0" w:color="auto"/>
        <w:bottom w:val="none" w:sz="0" w:space="0" w:color="auto"/>
        <w:right w:val="none" w:sz="0" w:space="0" w:color="auto"/>
      </w:divBdr>
    </w:div>
    <w:div w:id="479352368">
      <w:bodyDiv w:val="1"/>
      <w:marLeft w:val="0"/>
      <w:marRight w:val="0"/>
      <w:marTop w:val="0"/>
      <w:marBottom w:val="0"/>
      <w:divBdr>
        <w:top w:val="none" w:sz="0" w:space="0" w:color="auto"/>
        <w:left w:val="none" w:sz="0" w:space="0" w:color="auto"/>
        <w:bottom w:val="none" w:sz="0" w:space="0" w:color="auto"/>
        <w:right w:val="none" w:sz="0" w:space="0" w:color="auto"/>
      </w:divBdr>
      <w:divsChild>
        <w:div w:id="163519558">
          <w:marLeft w:val="547"/>
          <w:marRight w:val="0"/>
          <w:marTop w:val="20"/>
          <w:marBottom w:val="0"/>
          <w:divBdr>
            <w:top w:val="none" w:sz="0" w:space="0" w:color="auto"/>
            <w:left w:val="none" w:sz="0" w:space="0" w:color="auto"/>
            <w:bottom w:val="none" w:sz="0" w:space="0" w:color="auto"/>
            <w:right w:val="none" w:sz="0" w:space="0" w:color="auto"/>
          </w:divBdr>
        </w:div>
        <w:div w:id="1601448770">
          <w:marLeft w:val="547"/>
          <w:marRight w:val="0"/>
          <w:marTop w:val="20"/>
          <w:marBottom w:val="0"/>
          <w:divBdr>
            <w:top w:val="none" w:sz="0" w:space="0" w:color="auto"/>
            <w:left w:val="none" w:sz="0" w:space="0" w:color="auto"/>
            <w:bottom w:val="none" w:sz="0" w:space="0" w:color="auto"/>
            <w:right w:val="none" w:sz="0" w:space="0" w:color="auto"/>
          </w:divBdr>
        </w:div>
        <w:div w:id="1679772648">
          <w:marLeft w:val="547"/>
          <w:marRight w:val="0"/>
          <w:marTop w:val="20"/>
          <w:marBottom w:val="0"/>
          <w:divBdr>
            <w:top w:val="none" w:sz="0" w:space="0" w:color="auto"/>
            <w:left w:val="none" w:sz="0" w:space="0" w:color="auto"/>
            <w:bottom w:val="none" w:sz="0" w:space="0" w:color="auto"/>
            <w:right w:val="none" w:sz="0" w:space="0" w:color="auto"/>
          </w:divBdr>
        </w:div>
      </w:divsChild>
    </w:div>
    <w:div w:id="1052928261">
      <w:bodyDiv w:val="1"/>
      <w:marLeft w:val="0"/>
      <w:marRight w:val="0"/>
      <w:marTop w:val="0"/>
      <w:marBottom w:val="0"/>
      <w:divBdr>
        <w:top w:val="none" w:sz="0" w:space="0" w:color="auto"/>
        <w:left w:val="none" w:sz="0" w:space="0" w:color="auto"/>
        <w:bottom w:val="none" w:sz="0" w:space="0" w:color="auto"/>
        <w:right w:val="none" w:sz="0" w:space="0" w:color="auto"/>
      </w:divBdr>
    </w:div>
    <w:div w:id="1090390359">
      <w:bodyDiv w:val="1"/>
      <w:marLeft w:val="0"/>
      <w:marRight w:val="0"/>
      <w:marTop w:val="0"/>
      <w:marBottom w:val="0"/>
      <w:divBdr>
        <w:top w:val="none" w:sz="0" w:space="0" w:color="auto"/>
        <w:left w:val="none" w:sz="0" w:space="0" w:color="auto"/>
        <w:bottom w:val="none" w:sz="0" w:space="0" w:color="auto"/>
        <w:right w:val="none" w:sz="0" w:space="0" w:color="auto"/>
      </w:divBdr>
    </w:div>
    <w:div w:id="1191649457">
      <w:bodyDiv w:val="1"/>
      <w:marLeft w:val="0"/>
      <w:marRight w:val="0"/>
      <w:marTop w:val="0"/>
      <w:marBottom w:val="0"/>
      <w:divBdr>
        <w:top w:val="none" w:sz="0" w:space="0" w:color="auto"/>
        <w:left w:val="none" w:sz="0" w:space="0" w:color="auto"/>
        <w:bottom w:val="none" w:sz="0" w:space="0" w:color="auto"/>
        <w:right w:val="none" w:sz="0" w:space="0" w:color="auto"/>
      </w:divBdr>
    </w:div>
    <w:div w:id="1313558981">
      <w:bodyDiv w:val="1"/>
      <w:marLeft w:val="0"/>
      <w:marRight w:val="0"/>
      <w:marTop w:val="0"/>
      <w:marBottom w:val="0"/>
      <w:divBdr>
        <w:top w:val="none" w:sz="0" w:space="0" w:color="auto"/>
        <w:left w:val="none" w:sz="0" w:space="0" w:color="auto"/>
        <w:bottom w:val="none" w:sz="0" w:space="0" w:color="auto"/>
        <w:right w:val="none" w:sz="0" w:space="0" w:color="auto"/>
      </w:divBdr>
    </w:div>
    <w:div w:id="1451707621">
      <w:bodyDiv w:val="1"/>
      <w:marLeft w:val="0"/>
      <w:marRight w:val="0"/>
      <w:marTop w:val="0"/>
      <w:marBottom w:val="0"/>
      <w:divBdr>
        <w:top w:val="none" w:sz="0" w:space="0" w:color="auto"/>
        <w:left w:val="none" w:sz="0" w:space="0" w:color="auto"/>
        <w:bottom w:val="none" w:sz="0" w:space="0" w:color="auto"/>
        <w:right w:val="none" w:sz="0" w:space="0" w:color="auto"/>
      </w:divBdr>
      <w:divsChild>
        <w:div w:id="471751491">
          <w:marLeft w:val="547"/>
          <w:marRight w:val="0"/>
          <w:marTop w:val="20"/>
          <w:marBottom w:val="0"/>
          <w:divBdr>
            <w:top w:val="none" w:sz="0" w:space="0" w:color="auto"/>
            <w:left w:val="none" w:sz="0" w:space="0" w:color="auto"/>
            <w:bottom w:val="none" w:sz="0" w:space="0" w:color="auto"/>
            <w:right w:val="none" w:sz="0" w:space="0" w:color="auto"/>
          </w:divBdr>
        </w:div>
        <w:div w:id="572854594">
          <w:marLeft w:val="547"/>
          <w:marRight w:val="0"/>
          <w:marTop w:val="20"/>
          <w:marBottom w:val="0"/>
          <w:divBdr>
            <w:top w:val="none" w:sz="0" w:space="0" w:color="auto"/>
            <w:left w:val="none" w:sz="0" w:space="0" w:color="auto"/>
            <w:bottom w:val="none" w:sz="0" w:space="0" w:color="auto"/>
            <w:right w:val="none" w:sz="0" w:space="0" w:color="auto"/>
          </w:divBdr>
        </w:div>
        <w:div w:id="820344244">
          <w:marLeft w:val="547"/>
          <w:marRight w:val="0"/>
          <w:marTop w:val="20"/>
          <w:marBottom w:val="0"/>
          <w:divBdr>
            <w:top w:val="none" w:sz="0" w:space="0" w:color="auto"/>
            <w:left w:val="none" w:sz="0" w:space="0" w:color="auto"/>
            <w:bottom w:val="none" w:sz="0" w:space="0" w:color="auto"/>
            <w:right w:val="none" w:sz="0" w:space="0" w:color="auto"/>
          </w:divBdr>
        </w:div>
        <w:div w:id="1292126522">
          <w:marLeft w:val="547"/>
          <w:marRight w:val="0"/>
          <w:marTop w:val="20"/>
          <w:marBottom w:val="0"/>
          <w:divBdr>
            <w:top w:val="none" w:sz="0" w:space="0" w:color="auto"/>
            <w:left w:val="none" w:sz="0" w:space="0" w:color="auto"/>
            <w:bottom w:val="none" w:sz="0" w:space="0" w:color="auto"/>
            <w:right w:val="none" w:sz="0" w:space="0" w:color="auto"/>
          </w:divBdr>
        </w:div>
        <w:div w:id="1498037191">
          <w:marLeft w:val="1166"/>
          <w:marRight w:val="0"/>
          <w:marTop w:val="20"/>
          <w:marBottom w:val="0"/>
          <w:divBdr>
            <w:top w:val="none" w:sz="0" w:space="0" w:color="auto"/>
            <w:left w:val="none" w:sz="0" w:space="0" w:color="auto"/>
            <w:bottom w:val="none" w:sz="0" w:space="0" w:color="auto"/>
            <w:right w:val="none" w:sz="0" w:space="0" w:color="auto"/>
          </w:divBdr>
        </w:div>
        <w:div w:id="1729649082">
          <w:marLeft w:val="1166"/>
          <w:marRight w:val="0"/>
          <w:marTop w:val="20"/>
          <w:marBottom w:val="0"/>
          <w:divBdr>
            <w:top w:val="none" w:sz="0" w:space="0" w:color="auto"/>
            <w:left w:val="none" w:sz="0" w:space="0" w:color="auto"/>
            <w:bottom w:val="none" w:sz="0" w:space="0" w:color="auto"/>
            <w:right w:val="none" w:sz="0" w:space="0" w:color="auto"/>
          </w:divBdr>
        </w:div>
      </w:divsChild>
    </w:div>
    <w:div w:id="1500073678">
      <w:bodyDiv w:val="1"/>
      <w:marLeft w:val="0"/>
      <w:marRight w:val="0"/>
      <w:marTop w:val="0"/>
      <w:marBottom w:val="0"/>
      <w:divBdr>
        <w:top w:val="none" w:sz="0" w:space="0" w:color="auto"/>
        <w:left w:val="none" w:sz="0" w:space="0" w:color="auto"/>
        <w:bottom w:val="none" w:sz="0" w:space="0" w:color="auto"/>
        <w:right w:val="none" w:sz="0" w:space="0" w:color="auto"/>
      </w:divBdr>
    </w:div>
    <w:div w:id="1852984333">
      <w:bodyDiv w:val="1"/>
      <w:marLeft w:val="0"/>
      <w:marRight w:val="0"/>
      <w:marTop w:val="0"/>
      <w:marBottom w:val="0"/>
      <w:divBdr>
        <w:top w:val="none" w:sz="0" w:space="0" w:color="auto"/>
        <w:left w:val="none" w:sz="0" w:space="0" w:color="auto"/>
        <w:bottom w:val="none" w:sz="0" w:space="0" w:color="auto"/>
        <w:right w:val="none" w:sz="0" w:space="0" w:color="auto"/>
      </w:divBdr>
    </w:div>
    <w:div w:id="1960065568">
      <w:bodyDiv w:val="1"/>
      <w:marLeft w:val="0"/>
      <w:marRight w:val="0"/>
      <w:marTop w:val="0"/>
      <w:marBottom w:val="0"/>
      <w:divBdr>
        <w:top w:val="none" w:sz="0" w:space="0" w:color="auto"/>
        <w:left w:val="none" w:sz="0" w:space="0" w:color="auto"/>
        <w:bottom w:val="none" w:sz="0" w:space="0" w:color="auto"/>
        <w:right w:val="none" w:sz="0" w:space="0" w:color="auto"/>
      </w:divBdr>
    </w:div>
    <w:div w:id="1972517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pc="http://schemas.microsoft.com/office/infopath/2007/PartnerControl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4C69D4692D7946BCC3D5DFF55EEEC7" ma:contentTypeVersion="11" ma:contentTypeDescription="Create a new document." ma:contentTypeScope="" ma:versionID="b28ef43117a895f3b36351ebd828ea09">
  <xsd:schema xmlns:xsd="http://www.w3.org/2001/XMLSchema" xmlns:xs="http://www.w3.org/2001/XMLSchema" xmlns:p="http://schemas.microsoft.com/office/2006/metadata/properties" xmlns:ns2="0096e893-1e0c-43c6-9111-c1b8e3583f76" xmlns:ns3="a261194e-9b12-4f79-a6e5-0818e7e4581d" targetNamespace="http://schemas.microsoft.com/office/2006/metadata/properties" ma:root="true" ma:fieldsID="1f8362e53b0ecea56a6dc6cf6eab17df" ns2:_="" ns3:_="">
    <xsd:import namespace="0096e893-1e0c-43c6-9111-c1b8e3583f76"/>
    <xsd:import namespace="a261194e-9b12-4f79-a6e5-0818e7e4581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96e893-1e0c-43c6-9111-c1b8e3583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61194e-9b12-4f79-a6e5-0818e7e4581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D97C0-137C-4EAC-AF4B-DD76F2B1D42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EFB3BE-032B-4EB9-965E-711F83252997}">
  <ds:schemaRefs>
    <ds:schemaRef ds:uri="http://schemas.microsoft.com/sharepoint/v3/contenttype/forms"/>
  </ds:schemaRefs>
</ds:datastoreItem>
</file>

<file path=customXml/itemProps3.xml><?xml version="1.0" encoding="utf-8"?>
<ds:datastoreItem xmlns:ds="http://schemas.openxmlformats.org/officeDocument/2006/customXml" ds:itemID="{49693BDD-F3A4-4C49-B80E-360F22DE54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96e893-1e0c-43c6-9111-c1b8e3583f76"/>
    <ds:schemaRef ds:uri="a261194e-9b12-4f79-a6e5-0818e7e45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A1B3DA-4C5C-4367-9C5F-CF0CDA793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2034</Words>
  <Characters>11594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CG4355 GM1927 03 Sub Tier Supplier Management Apr 2019</vt:lpstr>
    </vt:vector>
  </TitlesOfParts>
  <LinksUpToDate>false</LinksUpToDate>
  <CharactersWithSpaces>13601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CG4355 GM1927 03 Sub Tier Supplier Management Apr 2019</dc:title>
  <dc:creator/>
  <cp:lastModifiedBy/>
  <cp:revision>1</cp:revision>
  <dcterms:created xsi:type="dcterms:W3CDTF">2024-03-26T10:20:00Z</dcterms:created>
  <dcterms:modified xsi:type="dcterms:W3CDTF">2024-03-26T10:20:00Z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0x010100BC4C69D4692D7946BCC3D5DFF55EEEC7</vt:lpwstr>
  </property>
  <property fmtid="{D5CDD505-2E9C-101B-9397-08002B2CF9AE}" pid="3" name="MSIP_Label_94d263f0-9716-4872-bef2-4a5eda6d12f4_Enabled">
    <vt:lpwstr>True</vt:lpwstr>
  </property>
  <property fmtid="{D5CDD505-2E9C-101B-9397-08002B2CF9AE}" pid="4" name="MSIP_Label_94d263f0-9716-4872-bef2-4a5eda6d12f4_SiteId">
    <vt:lpwstr>5de110f8-2e0f-4d45-891d-bcf2218e253d</vt:lpwstr>
  </property>
  <property fmtid="{D5CDD505-2E9C-101B-9397-08002B2CF9AE}" pid="5" name="MSIP_Label_94d263f0-9716-4872-bef2-4a5eda6d12f4_Owner">
    <vt:lpwstr>BZTL60@nam.corp.gm.com</vt:lpwstr>
  </property>
  <property fmtid="{D5CDD505-2E9C-101B-9397-08002B2CF9AE}" pid="6" name="MSIP_Label_94d263f0-9716-4872-bef2-4a5eda6d12f4_SetDate">
    <vt:lpwstr>2018-07-30T14:19:48.0748027Z</vt:lpwstr>
  </property>
  <property fmtid="{D5CDD505-2E9C-101B-9397-08002B2CF9AE}" pid="7" name="MSIP_Label_94d263f0-9716-4872-bef2-4a5eda6d12f4_Name">
    <vt:lpwstr>GM Confidential</vt:lpwstr>
  </property>
  <property fmtid="{D5CDD505-2E9C-101B-9397-08002B2CF9AE}" pid="8" name="MSIP_Label_94d263f0-9716-4872-bef2-4a5eda6d12f4_Application">
    <vt:lpwstr>Microsoft Azure Information Protection</vt:lpwstr>
  </property>
  <property fmtid="{D5CDD505-2E9C-101B-9397-08002B2CF9AE}" pid="9" name="MSIP_Label_94d263f0-9716-4872-bef2-4a5eda6d12f4_Extended_MSFT_Method">
    <vt:lpwstr>Manual</vt:lpwstr>
  </property>
  <property fmtid="{D5CDD505-2E9C-101B-9397-08002B2CF9AE}" pid="10" name="Sensitivity">
    <vt:lpwstr>GM Confidential</vt:lpwstr>
  </property>
  <property fmtid="{D5CDD505-2E9C-101B-9397-08002B2CF9AE}" pid="11" name="GPS SME">
    <vt:lpwstr/>
  </property>
  <property fmtid="{D5CDD505-2E9C-101B-9397-08002B2CF9AE}" pid="12" name="GM Europe">
    <vt:lpwstr/>
  </property>
  <property fmtid="{D5CDD505-2E9C-101B-9397-08002B2CF9AE}" pid="13" name="GM China SME">
    <vt:lpwstr/>
  </property>
  <property fmtid="{D5CDD505-2E9C-101B-9397-08002B2CF9AE}" pid="14" name="Form #">
    <vt:lpwstr>1927 03</vt:lpwstr>
  </property>
  <property fmtid="{D5CDD505-2E9C-101B-9397-08002B2CF9AE}" pid="15" name="GMSA SME">
    <vt:lpwstr/>
  </property>
  <property fmtid="{D5CDD505-2E9C-101B-9397-08002B2CF9AE}" pid="16" name="GMI SME">
    <vt:lpwstr/>
  </property>
  <property fmtid="{D5CDD505-2E9C-101B-9397-08002B2CF9AE}" pid="17" name="GM Mexico SME">
    <vt:lpwstr/>
  </property>
  <property fmtid="{D5CDD505-2E9C-101B-9397-08002B2CF9AE}" pid="18" name="GMNA SME">
    <vt:lpwstr/>
  </property>
  <property fmtid="{D5CDD505-2E9C-101B-9397-08002B2CF9AE}" pid="19" name="Created By">
    <vt:lpwstr>i:0#.w|nam\bztl60</vt:lpwstr>
  </property>
  <property fmtid="{D5CDD505-2E9C-101B-9397-08002B2CF9AE}" pid="20" name="Modified By">
    <vt:lpwstr>i:0#.w|nam\bztl60</vt:lpwstr>
  </property>
  <property fmtid="{D5CDD505-2E9C-101B-9397-08002B2CF9AE}" pid="21" name="FileLeafRef">
    <vt:lpwstr>CG4355 GM1927 03 Sub Tier Supplier Management Aug 2018.docx</vt:lpwstr>
  </property>
  <property fmtid="{D5CDD505-2E9C-101B-9397-08002B2CF9AE}" pid="22" name="source_item_id">
    <vt:lpwstr>141</vt:lpwstr>
  </property>
</Properties>
</file>